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第二章 采购需求</w:t>
      </w:r>
    </w:p>
    <w:p>
      <w:pPr>
        <w:pStyle w:val="6"/>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一、项目概况：</w:t>
      </w:r>
    </w:p>
    <w:p>
      <w:pPr>
        <w:pStyle w:val="3"/>
        <w:spacing w:line="360" w:lineRule="auto"/>
        <w:ind w:firstLine="480" w:firstLineChars="200"/>
        <w:rPr>
          <w:rFonts w:ascii="宋体" w:hAnsi="宋体" w:cs="Times New Roman"/>
          <w:color w:val="000000" w:themeColor="text1"/>
          <w:kern w:val="2"/>
          <w:highlight w:val="none"/>
          <w14:textFill>
            <w14:solidFill>
              <w14:schemeClr w14:val="tx1"/>
            </w14:solidFill>
          </w14:textFill>
        </w:rPr>
      </w:pPr>
      <w:r>
        <w:rPr>
          <w:rFonts w:ascii="宋体" w:hAnsi="宋体" w:cs="Times New Roman"/>
          <w:color w:val="000000" w:themeColor="text1"/>
          <w:kern w:val="2"/>
          <w:highlight w:val="none"/>
          <w14:textFill>
            <w14:solidFill>
              <w14:schemeClr w14:val="tx1"/>
            </w14:solidFill>
          </w14:textFill>
        </w:rPr>
        <w:t>（一）项目属性：服务类</w:t>
      </w:r>
    </w:p>
    <w:p>
      <w:pPr>
        <w:pStyle w:val="3"/>
        <w:spacing w:line="360" w:lineRule="auto"/>
        <w:ind w:firstLine="480" w:firstLineChars="200"/>
        <w:rPr>
          <w:rFonts w:ascii="宋体" w:hAnsi="宋体" w:cs="Times New Roman"/>
          <w:color w:val="000000" w:themeColor="text1"/>
          <w:kern w:val="2"/>
          <w:highlight w:val="none"/>
          <w14:textFill>
            <w14:solidFill>
              <w14:schemeClr w14:val="tx1"/>
            </w14:solidFill>
          </w14:textFill>
        </w:rPr>
      </w:pPr>
      <w:r>
        <w:rPr>
          <w:rFonts w:ascii="宋体" w:hAnsi="宋体" w:cs="Times New Roman"/>
          <w:color w:val="000000" w:themeColor="text1"/>
          <w:kern w:val="2"/>
          <w:highlight w:val="none"/>
          <w14:textFill>
            <w14:solidFill>
              <w14:schemeClr w14:val="tx1"/>
            </w14:solidFill>
          </w14:textFill>
        </w:rPr>
        <w:t>（</w:t>
      </w:r>
      <w:r>
        <w:rPr>
          <w:rFonts w:hint="eastAsia" w:ascii="宋体" w:hAnsi="宋体" w:cs="Times New Roman"/>
          <w:color w:val="000000" w:themeColor="text1"/>
          <w:kern w:val="2"/>
          <w:highlight w:val="none"/>
          <w14:textFill>
            <w14:solidFill>
              <w14:schemeClr w14:val="tx1"/>
            </w14:solidFill>
          </w14:textFill>
        </w:rPr>
        <w:t>二</w:t>
      </w:r>
      <w:r>
        <w:rPr>
          <w:rFonts w:ascii="宋体" w:hAnsi="宋体" w:cs="Times New Roman"/>
          <w:color w:val="000000" w:themeColor="text1"/>
          <w:kern w:val="2"/>
          <w:highlight w:val="none"/>
          <w14:textFill>
            <w14:solidFill>
              <w14:schemeClr w14:val="tx1"/>
            </w14:solidFill>
          </w14:textFill>
        </w:rPr>
        <w:t>）采购预算（最高限价）：人民币</w:t>
      </w:r>
      <w:r>
        <w:rPr>
          <w:rFonts w:hint="eastAsia" w:ascii="宋体" w:hAnsi="宋体" w:cs="Times New Roman"/>
          <w:color w:val="000000" w:themeColor="text1"/>
          <w:kern w:val="2"/>
          <w:highlight w:val="none"/>
          <w14:textFill>
            <w14:solidFill>
              <w14:schemeClr w14:val="tx1"/>
            </w14:solidFill>
          </w14:textFill>
        </w:rPr>
        <w:t>60.842</w:t>
      </w:r>
      <w:r>
        <w:rPr>
          <w:rFonts w:ascii="宋体" w:hAnsi="宋体" w:cs="Times New Roman"/>
          <w:color w:val="000000" w:themeColor="text1"/>
          <w:kern w:val="2"/>
          <w:highlight w:val="none"/>
          <w14:textFill>
            <w14:solidFill>
              <w14:schemeClr w14:val="tx1"/>
            </w14:solidFill>
          </w14:textFill>
        </w:rPr>
        <w:t>万元。</w:t>
      </w:r>
      <w:r>
        <w:rPr>
          <w:rFonts w:hint="eastAsia" w:ascii="宋体" w:hAnsi="宋体" w:cs="Times New Roman"/>
          <w:color w:val="000000" w:themeColor="text1"/>
          <w:kern w:val="2"/>
          <w:highlight w:val="none"/>
          <w14:textFill>
            <w14:solidFill>
              <w14:schemeClr w14:val="tx1"/>
            </w14:solidFill>
          </w14:textFill>
        </w:rPr>
        <w:t>其中2025年预算18.2526万元，2026年拟安排预算42.5894万元。</w:t>
      </w:r>
    </w:p>
    <w:p>
      <w:pPr>
        <w:widowControl/>
        <w:spacing w:line="360" w:lineRule="auto"/>
        <w:ind w:firstLine="480" w:firstLineChars="200"/>
        <w:jc w:val="lef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中标人不得将本项目（合同）转包，不得将本项目主体、关键性工作分包，不得将本项目非主体、非关键性工作向未在投标文件中载明的分包承担主体分包。本项目主体、关键性工作为：广州市公共信用信息管理系统日常维护服务、广州市公共信用信息管理系统系统功能优化服务、广州市信用监管应用支撑平台日常维护服务。</w:t>
      </w:r>
    </w:p>
    <w:p>
      <w:pPr>
        <w:widowControl/>
        <w:spacing w:line="360" w:lineRule="auto"/>
        <w:ind w:firstLine="480" w:firstLineChars="200"/>
        <w:jc w:val="lef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（四）中标人须完全遵守《中华人民共和国劳动合同法》有关规定和《中华人民共和国妇女权益保障法》中关于“劳动和社会保障权益”的有关要求。</w:t>
      </w:r>
    </w:p>
    <w:p>
      <w:pPr>
        <w:widowControl/>
        <w:spacing w:line="360" w:lineRule="auto"/>
        <w:ind w:firstLine="480" w:firstLineChars="200"/>
        <w:jc w:val="lef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（五）广州市公共信用信息管理系统应用配置运维方案讲解、广州市公共信用信息管理系统双公示管理系统（政府服务系统）运行维护方案讲解要求：</w:t>
      </w:r>
    </w:p>
    <w:p>
      <w:pPr>
        <w:widowControl/>
        <w:spacing w:line="360" w:lineRule="auto"/>
        <w:ind w:firstLine="480" w:firstLineChars="200"/>
        <w:jc w:val="left"/>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本项目要求在评审过程中进行</w:t>
      </w:r>
      <w:r>
        <w:rPr>
          <w:rFonts w:hint="eastAsia" w:ascii="宋体" w:hAnsi="宋体" w:eastAsia="宋体"/>
          <w:color w:val="000000" w:themeColor="text1"/>
          <w:sz w:val="24"/>
          <w:highlight w:val="none"/>
          <w14:textFill>
            <w14:solidFill>
              <w14:schemeClr w14:val="tx1"/>
            </w14:solidFill>
          </w14:textFill>
        </w:rPr>
        <w:t>广州市公共信用信息管理系统应用配置运维方案讲解、广州市公共信用信息管理系统双公示管理系统（政府服务系统）运行维护方案讲解</w:t>
      </w:r>
      <w:r>
        <w:rPr>
          <w:rFonts w:ascii="宋体" w:hAnsi="宋体" w:eastAsia="宋体"/>
          <w:color w:val="000000" w:themeColor="text1"/>
          <w:sz w:val="24"/>
          <w:highlight w:val="none"/>
          <w14:textFill>
            <w14:solidFill>
              <w14:schemeClr w14:val="tx1"/>
            </w14:solidFill>
          </w14:textFill>
        </w:rPr>
        <w:t>，建议供应商在投标文件（首次响应文件）解密时间截止后1小时内到达指定地点（广州市天河区天润路445号广州市政府采购中心（太阳广场）四楼</w:t>
      </w:r>
      <w:r>
        <w:rPr>
          <w:rFonts w:hint="eastAsia" w:ascii="宋体" w:hAnsi="宋体" w:eastAsia="宋体"/>
          <w:color w:val="000000" w:themeColor="text1"/>
          <w:sz w:val="24"/>
          <w:highlight w:val="none"/>
          <w14:textFill>
            <w14:solidFill>
              <w14:schemeClr w14:val="tx1"/>
            </w14:solidFill>
          </w14:textFill>
        </w:rPr>
        <w:t>供应商等候区）</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广州市公共信用信息管理系统应用配置运维方案讲解、广州市公共信用信息管理系统双公示管理系统（政府服务系统）运行维护方案讲解</w:t>
      </w:r>
      <w:r>
        <w:rPr>
          <w:rFonts w:ascii="宋体" w:hAnsi="宋体" w:eastAsia="宋体"/>
          <w:color w:val="000000" w:themeColor="text1"/>
          <w:sz w:val="24"/>
          <w:highlight w:val="none"/>
          <w14:textFill>
            <w14:solidFill>
              <w14:schemeClr w14:val="tx1"/>
            </w14:solidFill>
          </w14:textFill>
        </w:rPr>
        <w:t>开始时间由评审委员会确定，如供应商未在评审委员会规定的时间内到达</w:t>
      </w:r>
      <w:r>
        <w:rPr>
          <w:rFonts w:hint="eastAsia" w:ascii="宋体" w:hAnsi="宋体" w:eastAsia="宋体"/>
          <w:color w:val="000000" w:themeColor="text1"/>
          <w:sz w:val="24"/>
          <w:highlight w:val="none"/>
          <w14:textFill>
            <w14:solidFill>
              <w14:schemeClr w14:val="tx1"/>
            </w14:solidFill>
          </w14:textFill>
        </w:rPr>
        <w:t>广州市公共信用信息管理系统应用配置运维方案讲解、广州市公共信用信息管理系统双公示管理系统（政府服务系统）运行维护方案讲解地点</w:t>
      </w:r>
      <w:r>
        <w:rPr>
          <w:rFonts w:ascii="宋体" w:hAnsi="宋体" w:eastAsia="宋体"/>
          <w:color w:val="000000" w:themeColor="text1"/>
          <w:sz w:val="24"/>
          <w:highlight w:val="none"/>
          <w14:textFill>
            <w14:solidFill>
              <w14:schemeClr w14:val="tx1"/>
            </w14:solidFill>
          </w14:textFill>
        </w:rPr>
        <w:t>进行</w:t>
      </w:r>
      <w:r>
        <w:rPr>
          <w:rFonts w:hint="eastAsia" w:ascii="宋体" w:hAnsi="宋体" w:eastAsia="宋体"/>
          <w:color w:val="000000" w:themeColor="text1"/>
          <w:sz w:val="24"/>
          <w:highlight w:val="none"/>
          <w14:textFill>
            <w14:solidFill>
              <w14:schemeClr w14:val="tx1"/>
            </w14:solidFill>
          </w14:textFill>
        </w:rPr>
        <w:t>广州市公共信用信息管理系统应用配置运维方案讲解、广州市公共信用信息管理系统双公示管理系统（政府服务系统）运行维护方案讲解</w:t>
      </w:r>
      <w:r>
        <w:rPr>
          <w:rFonts w:ascii="宋体" w:hAnsi="宋体" w:eastAsia="宋体"/>
          <w:color w:val="000000" w:themeColor="text1"/>
          <w:sz w:val="24"/>
          <w:highlight w:val="none"/>
          <w14:textFill>
            <w14:solidFill>
              <w14:schemeClr w14:val="tx1"/>
            </w14:solidFill>
          </w14:textFill>
        </w:rPr>
        <w:t>，评审委员会有权视其放弃</w:t>
      </w:r>
      <w:r>
        <w:rPr>
          <w:rFonts w:hint="eastAsia" w:ascii="宋体" w:hAnsi="宋体" w:eastAsia="宋体"/>
          <w:color w:val="000000" w:themeColor="text1"/>
          <w:sz w:val="24"/>
          <w:highlight w:val="none"/>
          <w14:textFill>
            <w14:solidFill>
              <w14:schemeClr w14:val="tx1"/>
            </w14:solidFill>
          </w14:textFill>
        </w:rPr>
        <w:t>广州市公共信用信息管理系统应用配置运维方案讲解、广州市公共信用信息管理系统双公示管理系统（政府服务系统）运行维护方案讲解</w:t>
      </w:r>
      <w:r>
        <w:rPr>
          <w:rFonts w:ascii="宋体" w:hAnsi="宋体" w:eastAsia="宋体"/>
          <w:color w:val="000000" w:themeColor="text1"/>
          <w:sz w:val="24"/>
          <w:highlight w:val="none"/>
          <w14:textFill>
            <w14:solidFill>
              <w14:schemeClr w14:val="tx1"/>
            </w14:solidFill>
          </w14:textFill>
        </w:rPr>
        <w:t>。</w:t>
      </w:r>
    </w:p>
    <w:p>
      <w:pPr>
        <w:widowControl/>
        <w:spacing w:line="360" w:lineRule="auto"/>
        <w:ind w:firstLine="480" w:firstLineChars="200"/>
        <w:jc w:val="lef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本项目由有效投标人于评标过程中进行</w:t>
      </w:r>
      <w:r>
        <w:rPr>
          <w:rFonts w:hint="eastAsia" w:ascii="宋体" w:hAnsi="宋体" w:eastAsia="宋体"/>
          <w:color w:val="000000" w:themeColor="text1"/>
          <w:sz w:val="24"/>
          <w:highlight w:val="none"/>
          <w14:textFill>
            <w14:solidFill>
              <w14:schemeClr w14:val="tx1"/>
            </w14:solidFill>
          </w14:textFill>
        </w:rPr>
        <w:t>广州市公共信用信息管理系统应用配置运维方案讲解、广州市公共信用信息管理系统双公示管理系统（政府服务系统）运行维护方案讲解</w:t>
      </w:r>
      <w:r>
        <w:rPr>
          <w:rFonts w:ascii="宋体" w:hAnsi="宋体" w:eastAsia="宋体"/>
          <w:color w:val="000000" w:themeColor="text1"/>
          <w:sz w:val="24"/>
          <w:highlight w:val="none"/>
          <w14:textFill>
            <w14:solidFill>
              <w14:schemeClr w14:val="tx1"/>
            </w14:solidFill>
          </w14:textFill>
        </w:rPr>
        <w:t>，请投标人自行准备相关文件。</w:t>
      </w:r>
    </w:p>
    <w:p>
      <w:pPr>
        <w:widowControl/>
        <w:spacing w:line="360" w:lineRule="auto"/>
        <w:ind w:firstLine="480" w:firstLineChars="200"/>
        <w:jc w:val="lef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r>
        <w:rPr>
          <w:rFonts w:ascii="宋体" w:hAnsi="宋体" w:eastAsia="宋体"/>
          <w:color w:val="000000" w:themeColor="text1"/>
          <w:sz w:val="24"/>
          <w:highlight w:val="none"/>
          <w14:textFill>
            <w14:solidFill>
              <w14:schemeClr w14:val="tx1"/>
            </w14:solidFill>
          </w14:textFill>
        </w:rPr>
        <w:t>授权委托代理人须凭身份证原件参加</w:t>
      </w:r>
      <w:r>
        <w:rPr>
          <w:rFonts w:hint="eastAsia" w:ascii="宋体" w:hAnsi="宋体" w:eastAsia="宋体"/>
          <w:color w:val="000000" w:themeColor="text1"/>
          <w:sz w:val="24"/>
          <w:highlight w:val="none"/>
          <w14:textFill>
            <w14:solidFill>
              <w14:schemeClr w14:val="tx1"/>
            </w14:solidFill>
          </w14:textFill>
        </w:rPr>
        <w:t>广州市公共信用信息管理系统应用配置运维方案讲解、广州市公共信用信息管理系统双公示管理系统（政府服务系统）运行维护方案讲解</w:t>
      </w:r>
      <w:r>
        <w:rPr>
          <w:rFonts w:ascii="宋体" w:hAnsi="宋体" w:eastAsia="宋体"/>
          <w:color w:val="000000" w:themeColor="text1"/>
          <w:sz w:val="24"/>
          <w:highlight w:val="none"/>
          <w14:textFill>
            <w14:solidFill>
              <w14:schemeClr w14:val="tx1"/>
            </w14:solidFill>
          </w14:textFill>
        </w:rPr>
        <w:t>，参加人数不超过3人（含授权委托代理人在内）。</w:t>
      </w:r>
    </w:p>
    <w:p>
      <w:pPr>
        <w:widowControl/>
        <w:spacing w:line="360" w:lineRule="auto"/>
        <w:ind w:firstLine="480" w:firstLineChars="200"/>
        <w:jc w:val="lef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如</w:t>
      </w:r>
      <w:r>
        <w:rPr>
          <w:rFonts w:hint="eastAsia" w:ascii="宋体" w:hAnsi="宋体" w:eastAsia="宋体"/>
          <w:color w:val="000000" w:themeColor="text1"/>
          <w:sz w:val="24"/>
          <w:highlight w:val="none"/>
          <w14:textFill>
            <w14:solidFill>
              <w14:schemeClr w14:val="tx1"/>
            </w14:solidFill>
          </w14:textFill>
        </w:rPr>
        <w:t>广州市公共信用信息管理系统应用配置运维方案讲解、广州市公共信用信息管理系统双公示管理系统（政府服务系统）运行维护方案讲解</w:t>
      </w:r>
      <w:r>
        <w:rPr>
          <w:rFonts w:ascii="宋体" w:hAnsi="宋体" w:eastAsia="宋体"/>
          <w:color w:val="000000" w:themeColor="text1"/>
          <w:sz w:val="24"/>
          <w:highlight w:val="none"/>
          <w14:textFill>
            <w14:solidFill>
              <w14:schemeClr w14:val="tx1"/>
            </w14:solidFill>
          </w14:textFill>
        </w:rPr>
        <w:t>过程中需要用到电脑等设备（设备不能共用），请投标人自带，评标现场仅提供电源和投影设备。</w:t>
      </w:r>
    </w:p>
    <w:p>
      <w:pPr>
        <w:widowControl/>
        <w:spacing w:line="360" w:lineRule="auto"/>
        <w:ind w:firstLine="480" w:firstLineChars="200"/>
        <w:jc w:val="lef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4.广州市公共信用信息管理系统应用配置运维方案讲解、广州市公共信用信息管理系统双公示管理系统（政府服务系统）运行维护方案讲解</w:t>
      </w:r>
      <w:r>
        <w:rPr>
          <w:rFonts w:ascii="宋体" w:hAnsi="宋体" w:eastAsia="宋体"/>
          <w:color w:val="000000" w:themeColor="text1"/>
          <w:sz w:val="24"/>
          <w:highlight w:val="none"/>
          <w14:textFill>
            <w14:solidFill>
              <w14:schemeClr w14:val="tx1"/>
            </w14:solidFill>
          </w14:textFill>
        </w:rPr>
        <w:t>时间</w:t>
      </w:r>
      <w:r>
        <w:rPr>
          <w:rFonts w:hint="eastAsia" w:ascii="宋体" w:hAnsi="宋体" w:eastAsia="宋体"/>
          <w:color w:val="000000" w:themeColor="text1"/>
          <w:sz w:val="24"/>
          <w:highlight w:val="none"/>
          <w14:textFill>
            <w14:solidFill>
              <w14:schemeClr w14:val="tx1"/>
            </w14:solidFill>
          </w14:textFill>
        </w:rPr>
        <w:t>不超过</w:t>
      </w:r>
      <w:r>
        <w:rPr>
          <w:rFonts w:ascii="宋体" w:hAnsi="宋体" w:eastAsia="宋体"/>
          <w:color w:val="000000" w:themeColor="text1"/>
          <w:sz w:val="24"/>
          <w:highlight w:val="none"/>
          <w14:textFill>
            <w14:solidFill>
              <w14:schemeClr w14:val="tx1"/>
            </w14:solidFill>
          </w14:textFill>
        </w:rPr>
        <w:t>15分钟。</w:t>
      </w:r>
    </w:p>
    <w:p>
      <w:pPr>
        <w:widowControl/>
        <w:spacing w:line="360" w:lineRule="auto"/>
        <w:ind w:firstLine="480" w:firstLineChars="200"/>
        <w:jc w:val="lef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w:t>
      </w:r>
      <w:r>
        <w:rPr>
          <w:rFonts w:ascii="宋体" w:hAnsi="宋体" w:eastAsia="宋体"/>
          <w:color w:val="000000" w:themeColor="text1"/>
          <w:sz w:val="24"/>
          <w:highlight w:val="none"/>
          <w14:textFill>
            <w14:solidFill>
              <w14:schemeClr w14:val="tx1"/>
            </w14:solidFill>
          </w14:textFill>
        </w:rPr>
        <w:t>投标人的</w:t>
      </w:r>
      <w:r>
        <w:rPr>
          <w:rFonts w:hint="eastAsia" w:ascii="宋体" w:hAnsi="宋体" w:eastAsia="宋体"/>
          <w:color w:val="000000" w:themeColor="text1"/>
          <w:sz w:val="24"/>
          <w:highlight w:val="none"/>
          <w14:textFill>
            <w14:solidFill>
              <w14:schemeClr w14:val="tx1"/>
            </w14:solidFill>
          </w14:textFill>
        </w:rPr>
        <w:t>广州市公共信用信息管理系统应用配置运维方案讲解、广州市公共信用信息管理系统双公示管理系统（政府服务系统）运行维护方案讲解</w:t>
      </w:r>
      <w:r>
        <w:rPr>
          <w:rFonts w:ascii="宋体" w:hAnsi="宋体" w:eastAsia="宋体"/>
          <w:color w:val="000000" w:themeColor="text1"/>
          <w:sz w:val="24"/>
          <w:highlight w:val="none"/>
          <w14:textFill>
            <w14:solidFill>
              <w14:schemeClr w14:val="tx1"/>
            </w14:solidFill>
          </w14:textFill>
        </w:rPr>
        <w:t>等顺序按《开标一览表》的顺序进行。</w:t>
      </w:r>
    </w:p>
    <w:p>
      <w:pPr>
        <w:widowControl/>
        <w:spacing w:line="360" w:lineRule="auto"/>
        <w:ind w:firstLine="480" w:firstLineChars="200"/>
        <w:jc w:val="left"/>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6.广州市公共信用信息管理系统应用配置运维方案讲解、广州市公共信用信息管理系统双公示管理系统（政府服务系统）运行维护方案讲解</w:t>
      </w:r>
      <w:r>
        <w:rPr>
          <w:rFonts w:ascii="宋体" w:hAnsi="宋体" w:eastAsia="宋体"/>
          <w:color w:val="000000" w:themeColor="text1"/>
          <w:sz w:val="24"/>
          <w:highlight w:val="none"/>
          <w14:textFill>
            <w14:solidFill>
              <w14:schemeClr w14:val="tx1"/>
            </w14:solidFill>
          </w14:textFill>
        </w:rPr>
        <w:t>内容</w:t>
      </w:r>
      <w:r>
        <w:rPr>
          <w:rFonts w:hint="eastAsia" w:ascii="宋体" w:hAnsi="宋体" w:eastAsia="宋体"/>
          <w:color w:val="000000" w:themeColor="text1"/>
          <w:sz w:val="24"/>
          <w:highlight w:val="none"/>
          <w14:textFill>
            <w14:solidFill>
              <w14:schemeClr w14:val="tx1"/>
            </w14:solidFill>
          </w14:textFill>
        </w:rPr>
        <w:t>详见：第四章 评标-详细评审</w:t>
      </w:r>
      <w:r>
        <w:rPr>
          <w:rFonts w:hint="eastAsia" w:ascii="宋体" w:hAnsi="宋体" w:eastAsia="宋体"/>
          <w:color w:val="000000" w:themeColor="text1"/>
          <w:sz w:val="24"/>
          <w:highlight w:val="none"/>
          <w:lang w:eastAsia="zh-CN"/>
          <w14:textFill>
            <w14:solidFill>
              <w14:schemeClr w14:val="tx1"/>
            </w14:solidFill>
          </w14:textFill>
        </w:rPr>
        <w:t>。</w:t>
      </w:r>
    </w:p>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二、项目工期要求</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服务期自</w:t>
      </w:r>
      <w:r>
        <w:rPr>
          <w:rFonts w:hint="eastAsia" w:ascii="宋体" w:hAnsi="宋体" w:eastAsia="宋体"/>
          <w:color w:val="000000" w:themeColor="text1"/>
          <w:sz w:val="24"/>
          <w:highlight w:val="none"/>
          <w:lang w:val="en-US" w:eastAsia="zh-CN"/>
          <w14:textFill>
            <w14:solidFill>
              <w14:schemeClr w14:val="tx1"/>
            </w14:solidFill>
          </w14:textFill>
        </w:rPr>
        <w:t>2025年6月1日至2026年5月31日</w:t>
      </w:r>
      <w:r>
        <w:rPr>
          <w:rFonts w:hint="eastAsia" w:ascii="宋体" w:hAnsi="宋体" w:eastAsia="宋体"/>
          <w:color w:val="000000" w:themeColor="text1"/>
          <w:sz w:val="24"/>
          <w:highlight w:val="none"/>
          <w14:textFill>
            <w14:solidFill>
              <w14:schemeClr w14:val="tx1"/>
            </w14:solidFill>
          </w14:textFill>
        </w:rPr>
        <w:t>，若实际合同签订日期晚于预计起始日期，则服务起始日期为合同签订之日，服务结束日期相应顺延。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3343"/>
        <w:gridCol w:w="4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top"/>
          </w:tcPr>
          <w:p>
            <w:pPr>
              <w:spacing w:line="44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343" w:type="dxa"/>
            <w:noWrap w:val="0"/>
            <w:vAlign w:val="top"/>
          </w:tcPr>
          <w:p>
            <w:pPr>
              <w:spacing w:line="44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运维系统</w:t>
            </w:r>
          </w:p>
        </w:tc>
        <w:tc>
          <w:tcPr>
            <w:tcW w:w="4190" w:type="dxa"/>
            <w:noWrap w:val="0"/>
            <w:vAlign w:val="top"/>
          </w:tcPr>
          <w:p>
            <w:pPr>
              <w:spacing w:line="44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运维工期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top"/>
          </w:tcPr>
          <w:p>
            <w:pPr>
              <w:spacing w:line="44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343" w:type="dxa"/>
            <w:noWrap w:val="0"/>
            <w:vAlign w:val="top"/>
          </w:tcPr>
          <w:p>
            <w:pPr>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广州市公共信用信息管理系统</w:t>
            </w:r>
          </w:p>
        </w:tc>
        <w:tc>
          <w:tcPr>
            <w:tcW w:w="4190" w:type="dxa"/>
            <w:noWrap w:val="0"/>
            <w:vAlign w:val="top"/>
          </w:tcPr>
          <w:p>
            <w:pPr>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2025年6月1日~2026年5月31日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top"/>
          </w:tcPr>
          <w:p>
            <w:pPr>
              <w:spacing w:line="44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343" w:type="dxa"/>
            <w:noWrap w:val="0"/>
            <w:vAlign w:val="top"/>
          </w:tcPr>
          <w:p>
            <w:pPr>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广州市信用监管应用支撑平台</w:t>
            </w:r>
          </w:p>
        </w:tc>
        <w:tc>
          <w:tcPr>
            <w:tcW w:w="4190" w:type="dxa"/>
            <w:noWrap w:val="0"/>
            <w:vAlign w:val="top"/>
          </w:tcPr>
          <w:p>
            <w:pPr>
              <w:spacing w:line="44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2025年6月1日~2026年5月31日</w:t>
            </w:r>
          </w:p>
        </w:tc>
      </w:tr>
    </w:tbl>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p>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三、项目概况</w:t>
      </w:r>
    </w:p>
    <w:p>
      <w:pPr>
        <w:spacing w:line="360" w:lineRule="auto"/>
        <w:ind w:firstLine="482" w:firstLineChars="200"/>
        <w:outlineLvl w:val="1"/>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（一）项目背景</w:t>
      </w:r>
    </w:p>
    <w:p>
      <w:pPr>
        <w:spacing w:line="360" w:lineRule="auto"/>
        <w:ind w:firstLine="480" w:firstLineChars="200"/>
        <w:rPr>
          <w:rFonts w:ascii="宋体" w:hAnsi="宋体" w:eastAsia="宋体"/>
          <w:color w:val="000000" w:themeColor="text1"/>
          <w:sz w:val="24"/>
          <w:szCs w:val="22"/>
          <w:highlight w:val="none"/>
          <w14:textFill>
            <w14:solidFill>
              <w14:schemeClr w14:val="tx1"/>
            </w14:solidFill>
          </w14:textFill>
        </w:rPr>
      </w:pPr>
      <w:r>
        <w:rPr>
          <w:rFonts w:ascii="宋体" w:hAnsi="宋体" w:eastAsia="宋体"/>
          <w:color w:val="000000" w:themeColor="text1"/>
          <w:sz w:val="24"/>
          <w:szCs w:val="22"/>
          <w:highlight w:val="none"/>
          <w14:textFill>
            <w14:solidFill>
              <w14:schemeClr w14:val="tx1"/>
            </w14:solidFill>
          </w14:textFill>
        </w:rPr>
        <w:t>自2012年起，广州市根据国家、省关于社会信用体系建设的相关要求，先后制定《广州市社会信用体系建设工作方案》、《广州市社会信用体系建设规划（2014—2020年）》，出台《广州市公共信用信息管理试行办法》，正式印发《广州市公共信用信息资源目录（第一版）》,包含64个单位的707类信息资源，成立广州市社会信用体系建设统筹协调小组办公室。广州市公共信用信息管理系统是社会信用体系建设的基础环节和核心内容。系统充分利用现代信息技术，按照统一的信用信息标准和技术规范，整合政府各部门信用信息资源，广泛归集信用主体的信用信息，实现政府部门公共信用信息资源的信息交换，消除信息孤岛。同时依法有序地向社会公众和信用服务机构公开信用信息，积极推动社会广泛应用信用信息，实现对守信行为和失信行为的联奖联惩。逐步达到优化市场信用环境，降低交易成本、提高资源配置效率，促进经济社会发展的目标。根据《广州市公共信用信息管理系统建设工作方案》，依托广州市政务信息共享平台，已建成“一目录、五库、三系统和一网站”（“一目录”即一个公共信用信息资源目录体系，“五库”即政府、企业、个人、事业单位和社会组织五大信用主体库，“三系统”即公众、政府、专业机构三个信用服务系统，“一网站”即“信用广州”网）的广州市公共信用信息管理系统。迄今，广州市公共信用信息管理系统已归集工商、税务、公安、国规、人社等政府部门的信用信息，建立个人、企业、事业单位、社会组织和政府等五类信用主体数据库。</w:t>
      </w:r>
    </w:p>
    <w:p>
      <w:pPr>
        <w:spacing w:line="360" w:lineRule="auto"/>
        <w:ind w:firstLine="480" w:firstLineChars="200"/>
        <w:rPr>
          <w:rFonts w:ascii="宋体" w:hAnsi="宋体" w:eastAsia="宋体"/>
          <w:color w:val="000000" w:themeColor="text1"/>
          <w:sz w:val="24"/>
          <w:szCs w:val="22"/>
          <w:highlight w:val="none"/>
          <w14:textFill>
            <w14:solidFill>
              <w14:schemeClr w14:val="tx1"/>
            </w14:solidFill>
          </w14:textFill>
        </w:rPr>
      </w:pPr>
      <w:r>
        <w:rPr>
          <w:rFonts w:ascii="宋体" w:hAnsi="宋体" w:eastAsia="宋体"/>
          <w:color w:val="000000" w:themeColor="text1"/>
          <w:sz w:val="24"/>
          <w:szCs w:val="22"/>
          <w:highlight w:val="none"/>
          <w14:textFill>
            <w14:solidFill>
              <w14:schemeClr w14:val="tx1"/>
            </w14:solidFill>
          </w14:textFill>
        </w:rPr>
        <w:t>在此基础上，为进一步规范公共信用信息的归集，方便公共信用信息的使用，2020年1月，市公共信用信息主管部门依据国家《公共信用信息分类与编码规范》《公共信用信息资源目录编制指南》，以及《广州市公共信用信息资源目录（第一版）》《广州市公共信用信息管理规定》《全国信用信息共享平台信用信息归集目录》，结合广州实际情况，参考上海、杭州、深圳、福州等地经验，制定了《广州市公共信用信息资源数据目录（2020）》，涉及全市71个信息提供单位，共553类信息资源。</w:t>
      </w:r>
    </w:p>
    <w:p>
      <w:pPr>
        <w:spacing w:line="360" w:lineRule="auto"/>
        <w:ind w:firstLine="480" w:firstLineChars="200"/>
        <w:rPr>
          <w:rFonts w:ascii="宋体" w:hAnsi="宋体" w:eastAsia="宋体"/>
          <w:color w:val="000000" w:themeColor="text1"/>
          <w:sz w:val="24"/>
          <w:szCs w:val="22"/>
          <w:highlight w:val="none"/>
          <w14:textFill>
            <w14:solidFill>
              <w14:schemeClr w14:val="tx1"/>
            </w14:solidFill>
          </w14:textFill>
        </w:rPr>
      </w:pPr>
      <w:r>
        <w:rPr>
          <w:rFonts w:ascii="宋体" w:hAnsi="宋体" w:eastAsia="宋体"/>
          <w:color w:val="000000" w:themeColor="text1"/>
          <w:sz w:val="24"/>
          <w:szCs w:val="22"/>
          <w:highlight w:val="none"/>
          <w14:textFill>
            <w14:solidFill>
              <w14:schemeClr w14:val="tx1"/>
            </w14:solidFill>
          </w14:textFill>
        </w:rPr>
        <w:t>广州市公共信用信息管理系统包括信用广州网、公众服务系统、政府服务系统、专业机构服务系统、信息资源目录管理系统、数据归集平台，2016年系统已建成运行，目前运行正常。由采购人负责提供所需原系统的源代码等技术资料及负责相关协调工作，中标人承担具体运维工作。</w:t>
      </w:r>
    </w:p>
    <w:p>
      <w:pPr>
        <w:spacing w:line="360" w:lineRule="auto"/>
        <w:ind w:firstLine="480" w:firstLineChars="200"/>
        <w:rPr>
          <w:rFonts w:ascii="宋体" w:hAnsi="宋体" w:eastAsia="宋体"/>
          <w:color w:val="000000" w:themeColor="text1"/>
          <w:sz w:val="24"/>
          <w:szCs w:val="22"/>
          <w:highlight w:val="none"/>
          <w14:textFill>
            <w14:solidFill>
              <w14:schemeClr w14:val="tx1"/>
            </w14:solidFill>
          </w14:textFill>
        </w:rPr>
      </w:pPr>
      <w:r>
        <w:rPr>
          <w:rFonts w:ascii="宋体" w:hAnsi="宋体" w:eastAsia="宋体"/>
          <w:color w:val="000000" w:themeColor="text1"/>
          <w:sz w:val="24"/>
          <w:szCs w:val="22"/>
          <w:highlight w:val="none"/>
          <w14:textFill>
            <w14:solidFill>
              <w14:schemeClr w14:val="tx1"/>
            </w14:solidFill>
          </w14:textFill>
        </w:rPr>
        <w:t>广州市信用监管应用支撑平台支撑广州市事前、事中、事后全监管环节的新型监管机制，进一步发挥信用在创新监管机制、提高监管能力和水平方面的基础性作用，更好激发市场主体活力。平台支撑全市政府各业务系统在事前信用核查、事中事后信用监管需求，包括失信信息提醒、信用失信惩戒、信用监管应用统计分析等；全面整合信用信息数据，开展企业信用综合评价，形成反映企业状况“信用画像”，为分级分类监管提供基础支撑。</w:t>
      </w:r>
    </w:p>
    <w:p>
      <w:pPr>
        <w:numPr>
          <w:ilvl w:val="0"/>
          <w:numId w:val="1"/>
        </w:numPr>
        <w:spacing w:line="360" w:lineRule="auto"/>
        <w:ind w:firstLine="482" w:firstLineChars="200"/>
        <w:outlineLvl w:val="1"/>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项目现状</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广州市公共信用信息管理系统于2016年建成，包括政府服务系统、公众服务系统、专业机构服务系统、资源目录管理系统和信用广州网站，是社会信用体系建设的基础环节和核心内容。系统充分利用现代信息技术，按照统一的信用信息标准和技术规范，整合政府各部门信用信息资源，广泛归集信用主体的信用信息，实现政府部门公共信用信息资源的信息交换，消除信息孤岛。同时依法有序地向社会公众和信用服务机构公开信用信息，积极推动社会广泛应用信用信息，实现对守信行为和失信行为的联奖联惩，逐步达到优化市场信用环境，降低交易成本、提高资源配置效率，促进经济社会发展的目标。根据《广州市公共信用信息管理系统建设工作方案》，依托广州市政府信息共享平台，已初步建成“一目录、五库、三系统和一网站”（“一目录”即一个公共信用信息资源目录体系，“五库”即政府、企业、个人、事业单位和社会组织五大信用主体库，“三系统”即公众、政府、专业机构三个信用服务系统，“一网站”即“信用广州”网）的广州市公共信用信息管理系统。迄今，广州市公共信用信息管理系统已归集人社、税务、公安和住建等46个政府部门的信用信息，建立个人、企业、事业单位、社会组织和政府等五类信用主体数据库</w:t>
      </w:r>
      <w:r>
        <w:rPr>
          <w:rFonts w:ascii="宋体" w:hAnsi="宋体" w:eastAsia="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eastAsia="宋体"/>
          <w:bCs/>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广州市信用监管应用支撑</w:t>
      </w:r>
      <w:r>
        <w:rPr>
          <w:rFonts w:ascii="宋体" w:hAnsi="宋体" w:eastAsia="宋体"/>
          <w:bCs/>
          <w:color w:val="000000" w:themeColor="text1"/>
          <w:sz w:val="24"/>
          <w:highlight w:val="none"/>
          <w14:textFill>
            <w14:solidFill>
              <w14:schemeClr w14:val="tx1"/>
            </w14:solidFill>
          </w14:textFill>
        </w:rPr>
        <w:t>平台上线运行以来，各项功能稳定运行。平台用户包括各区及各市级单位用户，平台以“信用监管”为核心，提供信用评价、信用核查、信用报告（监管版）、信用奖惩等功能，支撑各部门开展信用监管相关业务，为各部门业务系统提供接口服务，累计超</w:t>
      </w:r>
      <w:r>
        <w:rPr>
          <w:rFonts w:hint="eastAsia" w:ascii="宋体" w:hAnsi="宋体" w:eastAsia="宋体"/>
          <w:bCs/>
          <w:color w:val="000000" w:themeColor="text1"/>
          <w:sz w:val="24"/>
          <w:highlight w:val="none"/>
          <w14:textFill>
            <w14:solidFill>
              <w14:schemeClr w14:val="tx1"/>
            </w14:solidFill>
          </w14:textFill>
        </w:rPr>
        <w:t>33</w:t>
      </w:r>
      <w:r>
        <w:rPr>
          <w:rFonts w:ascii="宋体" w:hAnsi="宋体" w:eastAsia="宋体"/>
          <w:bCs/>
          <w:color w:val="000000" w:themeColor="text1"/>
          <w:sz w:val="24"/>
          <w:highlight w:val="none"/>
          <w14:textFill>
            <w14:solidFill>
              <w14:schemeClr w14:val="tx1"/>
            </w14:solidFill>
          </w14:textFill>
        </w:rPr>
        <w:t>0</w:t>
      </w:r>
      <w:r>
        <w:rPr>
          <w:rFonts w:hint="eastAsia" w:ascii="宋体" w:hAnsi="宋体" w:eastAsia="宋体"/>
          <w:bCs/>
          <w:color w:val="000000" w:themeColor="text1"/>
          <w:sz w:val="24"/>
          <w:highlight w:val="none"/>
          <w14:textFill>
            <w14:solidFill>
              <w14:schemeClr w14:val="tx1"/>
            </w14:solidFill>
          </w14:textFill>
        </w:rPr>
        <w:t>0</w:t>
      </w:r>
      <w:r>
        <w:rPr>
          <w:rFonts w:ascii="宋体" w:hAnsi="宋体" w:eastAsia="宋体"/>
          <w:bCs/>
          <w:color w:val="000000" w:themeColor="text1"/>
          <w:sz w:val="24"/>
          <w:highlight w:val="none"/>
          <w14:textFill>
            <w14:solidFill>
              <w14:schemeClr w14:val="tx1"/>
            </w14:solidFill>
          </w14:textFill>
        </w:rPr>
        <w:t>万次。</w:t>
      </w:r>
    </w:p>
    <w:p>
      <w:pPr>
        <w:pStyle w:val="2"/>
        <w:ind w:left="0"/>
        <w:rPr>
          <w:rFonts w:ascii="宋体" w:hAnsi="宋体"/>
          <w:color w:val="000000" w:themeColor="text1"/>
          <w:highlight w:val="none"/>
          <w14:textFill>
            <w14:solidFill>
              <w14:schemeClr w14:val="tx1"/>
            </w14:solidFill>
          </w14:textFill>
        </w:rPr>
      </w:pPr>
    </w:p>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bookmarkStart w:id="0" w:name="_Toc440632522"/>
      <w:r>
        <w:rPr>
          <w:rFonts w:ascii="宋体" w:hAnsi="宋体" w:eastAsia="宋体"/>
          <w:b/>
          <w:color w:val="000000" w:themeColor="text1"/>
          <w:sz w:val="24"/>
          <w:highlight w:val="none"/>
          <w14:textFill>
            <w14:solidFill>
              <w14:schemeClr w14:val="tx1"/>
            </w14:solidFill>
          </w14:textFill>
        </w:rPr>
        <w:t>四、项目目标</w:t>
      </w:r>
      <w:bookmarkEnd w:id="0"/>
    </w:p>
    <w:p>
      <w:pPr>
        <w:spacing w:line="360" w:lineRule="auto"/>
        <w:ind w:firstLine="424" w:firstLineChars="177"/>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为广州市公共信用信息管理系统提供1年的系统运维和业务运维服务，为广州市信用监管应用支撑平台提供1年的系统运维服务</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确保系统正常运行。</w:t>
      </w:r>
    </w:p>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五、IT运维服务范围</w:t>
      </w:r>
    </w:p>
    <w:p>
      <w:pPr>
        <w:spacing w:line="360" w:lineRule="auto"/>
        <w:ind w:firstLine="480" w:firstLineChars="200"/>
        <w:rPr>
          <w:rFonts w:ascii="宋体" w:hAnsi="宋体" w:eastAsia="宋体"/>
          <w:color w:val="000000" w:themeColor="text1"/>
          <w:sz w:val="24"/>
          <w:szCs w:val="22"/>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广州市公共信用信息管理系统</w:t>
      </w:r>
      <w:r>
        <w:rPr>
          <w:rFonts w:hint="eastAsia" w:ascii="宋体" w:hAnsi="宋体" w:eastAsia="宋体"/>
          <w:color w:val="000000" w:themeColor="text1"/>
          <w:sz w:val="24"/>
          <w:highlight w:val="none"/>
          <w14:textFill>
            <w14:solidFill>
              <w14:schemeClr w14:val="tx1"/>
            </w14:solidFill>
          </w14:textFill>
        </w:rPr>
        <w:t>和</w:t>
      </w:r>
      <w:r>
        <w:rPr>
          <w:rFonts w:ascii="宋体" w:hAnsi="宋体" w:eastAsia="宋体"/>
          <w:color w:val="000000" w:themeColor="text1"/>
          <w:sz w:val="24"/>
          <w:highlight w:val="none"/>
          <w14:textFill>
            <w14:solidFill>
              <w14:schemeClr w14:val="tx1"/>
            </w14:solidFill>
          </w14:textFill>
        </w:rPr>
        <w:t>广州市信用监管应用支撑平台IT运维运维服务类别、服务内容如下：</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30"/>
        <w:gridCol w:w="5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blHeader/>
          <w:jc w:val="center"/>
        </w:trPr>
        <w:tc>
          <w:tcPr>
            <w:tcW w:w="3230" w:type="dxa"/>
            <w:noWrap w:val="0"/>
            <w:vAlign w:val="center"/>
          </w:tcPr>
          <w:p>
            <w:pPr>
              <w:spacing w:line="360" w:lineRule="auto"/>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IT运维服务类别</w:t>
            </w:r>
          </w:p>
        </w:tc>
        <w:tc>
          <w:tcPr>
            <w:tcW w:w="5292" w:type="dxa"/>
            <w:noWrap w:val="0"/>
            <w:vAlign w:val="center"/>
          </w:tcPr>
          <w:p>
            <w:pPr>
              <w:spacing w:line="360" w:lineRule="auto"/>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0" w:type="dxa"/>
            <w:vMerge w:val="restart"/>
            <w:noWrap w:val="0"/>
            <w:vAlign w:val="center"/>
          </w:tcPr>
          <w:p>
            <w:pPr>
              <w:spacing w:line="360" w:lineRule="auto"/>
              <w:rPr>
                <w:rFonts w:ascii="宋体" w:hAnsi="宋体" w:eastAsia="宋体"/>
                <w:color w:val="000000" w:themeColor="text1"/>
                <w:sz w:val="24"/>
                <w:highlight w:val="none"/>
                <w14:textFill>
                  <w14:solidFill>
                    <w14:schemeClr w14:val="tx1"/>
                  </w14:solidFill>
                </w14:textFill>
              </w:rPr>
            </w:pPr>
            <w:r>
              <w:rPr>
                <w:rFonts w:ascii="Segoe UI Symbol" w:hAnsi="Segoe UI Symbol" w:eastAsia="宋体" w:cs="Segoe UI Symbol"/>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软件及信息资源维护服务</w:t>
            </w:r>
          </w:p>
        </w:tc>
        <w:tc>
          <w:tcPr>
            <w:tcW w:w="5292" w:type="dxa"/>
            <w:noWrap w:val="0"/>
            <w:vAlign w:val="center"/>
          </w:tcPr>
          <w:p>
            <w:pPr>
              <w:spacing w:line="360" w:lineRule="auto"/>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□基础软件维护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0" w:type="dxa"/>
            <w:vMerge w:val="continue"/>
            <w:noWrap w:val="0"/>
            <w:vAlign w:val="center"/>
          </w:tcPr>
          <w:p>
            <w:pPr>
              <w:spacing w:line="360" w:lineRule="auto"/>
              <w:rPr>
                <w:rFonts w:ascii="宋体" w:hAnsi="宋体" w:eastAsia="宋体"/>
                <w:color w:val="000000" w:themeColor="text1"/>
                <w:sz w:val="24"/>
                <w:highlight w:val="none"/>
                <w14:textFill>
                  <w14:solidFill>
                    <w14:schemeClr w14:val="tx1"/>
                  </w14:solidFill>
                </w14:textFill>
              </w:rPr>
            </w:pPr>
          </w:p>
        </w:tc>
        <w:tc>
          <w:tcPr>
            <w:tcW w:w="5292" w:type="dxa"/>
            <w:noWrap w:val="0"/>
            <w:vAlign w:val="center"/>
          </w:tcPr>
          <w:p>
            <w:pPr>
              <w:spacing w:line="360" w:lineRule="auto"/>
              <w:rPr>
                <w:rFonts w:ascii="宋体" w:hAnsi="宋体" w:eastAsia="宋体"/>
                <w:color w:val="000000" w:themeColor="text1"/>
                <w:sz w:val="24"/>
                <w:highlight w:val="none"/>
                <w14:textFill>
                  <w14:solidFill>
                    <w14:schemeClr w14:val="tx1"/>
                  </w14:solidFill>
                </w14:textFill>
              </w:rPr>
            </w:pPr>
            <w:r>
              <w:rPr>
                <w:rFonts w:ascii="Segoe UI Symbol" w:hAnsi="Segoe UI Symbol" w:eastAsia="宋体" w:cs="Segoe UI Symbol"/>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业务系统维护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0" w:type="dxa"/>
            <w:vMerge w:val="continue"/>
            <w:noWrap w:val="0"/>
            <w:vAlign w:val="center"/>
          </w:tcPr>
          <w:p>
            <w:pPr>
              <w:spacing w:line="360" w:lineRule="auto"/>
              <w:rPr>
                <w:rFonts w:ascii="宋体" w:hAnsi="宋体" w:eastAsia="宋体"/>
                <w:color w:val="000000" w:themeColor="text1"/>
                <w:sz w:val="24"/>
                <w:highlight w:val="none"/>
                <w14:textFill>
                  <w14:solidFill>
                    <w14:schemeClr w14:val="tx1"/>
                  </w14:solidFill>
                </w14:textFill>
              </w:rPr>
            </w:pPr>
          </w:p>
        </w:tc>
        <w:tc>
          <w:tcPr>
            <w:tcW w:w="5292" w:type="dxa"/>
            <w:noWrap w:val="0"/>
            <w:vAlign w:val="center"/>
          </w:tcPr>
          <w:p>
            <w:pPr>
              <w:spacing w:line="360" w:lineRule="auto"/>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□支撑软件维护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0" w:type="dxa"/>
            <w:vMerge w:val="continue"/>
            <w:noWrap w:val="0"/>
            <w:vAlign w:val="center"/>
          </w:tcPr>
          <w:p>
            <w:pPr>
              <w:spacing w:line="360" w:lineRule="auto"/>
              <w:rPr>
                <w:rFonts w:ascii="宋体" w:hAnsi="宋体" w:eastAsia="宋体"/>
                <w:color w:val="000000" w:themeColor="text1"/>
                <w:sz w:val="24"/>
                <w:highlight w:val="none"/>
                <w14:textFill>
                  <w14:solidFill>
                    <w14:schemeClr w14:val="tx1"/>
                  </w14:solidFill>
                </w14:textFill>
              </w:rPr>
            </w:pPr>
          </w:p>
        </w:tc>
        <w:tc>
          <w:tcPr>
            <w:tcW w:w="5292" w:type="dxa"/>
            <w:noWrap w:val="0"/>
            <w:vAlign w:val="center"/>
          </w:tcPr>
          <w:p>
            <w:pPr>
              <w:spacing w:line="360" w:lineRule="auto"/>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□信息资源安全维护</w:t>
            </w:r>
          </w:p>
        </w:tc>
      </w:tr>
    </w:tbl>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六、IT运维服务内容</w:t>
      </w:r>
    </w:p>
    <w:p>
      <w:pPr>
        <w:pStyle w:val="2"/>
        <w:spacing w:line="360" w:lineRule="auto"/>
        <w:ind w:left="0" w:firstLine="482" w:firstLineChars="200"/>
        <w:rPr>
          <w:rFonts w:ascii="宋体" w:hAnsi="宋体"/>
          <w:b/>
          <w:bCs/>
          <w:color w:val="000000" w:themeColor="text1"/>
          <w:kern w:val="0"/>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（一）广州市公共信用信息管理系统</w:t>
      </w:r>
      <w:r>
        <w:rPr>
          <w:rFonts w:ascii="宋体" w:hAnsi="宋体"/>
          <w:b/>
          <w:bCs/>
          <w:color w:val="000000" w:themeColor="text1"/>
          <w:kern w:val="0"/>
          <w:sz w:val="24"/>
          <w:highlight w:val="none"/>
          <w14:textFill>
            <w14:solidFill>
              <w14:schemeClr w14:val="tx1"/>
            </w14:solidFill>
          </w14:textFill>
        </w:rPr>
        <w:t>日常维护服务</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kern w:val="0"/>
          <w:sz w:val="24"/>
          <w:highlight w:val="none"/>
          <w14:textFill>
            <w14:solidFill>
              <w14:schemeClr w14:val="tx1"/>
            </w14:solidFill>
          </w14:textFill>
        </w:rPr>
        <w:t>应用系统日常运维</w:t>
      </w:r>
    </w:p>
    <w:p>
      <w:pPr>
        <w:pStyle w:val="2"/>
        <w:spacing w:line="360" w:lineRule="auto"/>
        <w:ind w:left="0" w:firstLine="480" w:firstLineChars="200"/>
        <w:rPr>
          <w:rFonts w:ascii="宋体" w:hAnsi="宋体" w:cs="等线"/>
          <w:bCs/>
          <w:color w:val="000000" w:themeColor="text1"/>
          <w:kern w:val="0"/>
          <w:sz w:val="24"/>
          <w:highlight w:val="none"/>
          <w14:textFill>
            <w14:solidFill>
              <w14:schemeClr w14:val="tx1"/>
            </w14:solidFill>
          </w14:textFill>
        </w:rPr>
      </w:pPr>
      <w:r>
        <w:rPr>
          <w:rFonts w:hint="eastAsia" w:ascii="宋体" w:hAnsi="宋体" w:cs="等线"/>
          <w:bCs/>
          <w:color w:val="000000" w:themeColor="text1"/>
          <w:kern w:val="0"/>
          <w:sz w:val="24"/>
          <w:highlight w:val="none"/>
          <w14:textFill>
            <w14:solidFill>
              <w14:schemeClr w14:val="tx1"/>
            </w14:solidFill>
          </w14:textFill>
        </w:rPr>
        <w:t>（1）信用广州网站日常维护服务</w:t>
      </w:r>
    </w:p>
    <w:p>
      <w:pPr>
        <w:numPr>
          <w:ilvl w:val="0"/>
          <w:numId w:val="2"/>
        </w:numPr>
        <w:spacing w:line="360" w:lineRule="auto"/>
        <w:ind w:left="0"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日常监控</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配合市电子政务云服务平台运维单位，对主机、操作系统、中间件、数据库、网络、应用软件等资源使用情况及运行状况进行监控，如发现问题必须及时向相关管理人员进行汇报，及时处理，并做好记录。</w:t>
      </w:r>
    </w:p>
    <w:p>
      <w:pPr>
        <w:numPr>
          <w:ilvl w:val="0"/>
          <w:numId w:val="2"/>
        </w:numPr>
        <w:spacing w:line="360" w:lineRule="auto"/>
        <w:ind w:left="0"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网站常态化巡检</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每日</w:t>
      </w:r>
      <w:r>
        <w:rPr>
          <w:rFonts w:hint="eastAsia" w:ascii="宋体" w:hAnsi="宋体" w:eastAsia="宋体"/>
          <w:color w:val="000000" w:themeColor="text1"/>
          <w:kern w:val="0"/>
          <w:sz w:val="24"/>
          <w:highlight w:val="none"/>
          <w14:textFill>
            <w14:solidFill>
              <w14:schemeClr w14:val="tx1"/>
            </w14:solidFill>
          </w14:textFill>
        </w:rPr>
        <w:t>1次</w:t>
      </w:r>
      <w:r>
        <w:rPr>
          <w:rFonts w:ascii="宋体" w:hAnsi="宋体" w:eastAsia="宋体"/>
          <w:color w:val="000000" w:themeColor="text1"/>
          <w:kern w:val="0"/>
          <w:sz w:val="24"/>
          <w:highlight w:val="none"/>
          <w14:textFill>
            <w14:solidFill>
              <w14:schemeClr w14:val="tx1"/>
            </w14:solidFill>
          </w14:textFill>
        </w:rPr>
        <w:t>按要求对网站页面和应用功能组件进行日常巡检，</w:t>
      </w:r>
      <w:r>
        <w:rPr>
          <w:rFonts w:hint="eastAsia" w:ascii="宋体" w:hAnsi="宋体" w:eastAsia="宋体"/>
          <w:color w:val="000000" w:themeColor="text1"/>
          <w:kern w:val="0"/>
          <w:sz w:val="24"/>
          <w:highlight w:val="none"/>
          <w14:textFill>
            <w14:solidFill>
              <w14:schemeClr w14:val="tx1"/>
            </w14:solidFill>
          </w14:textFill>
        </w:rPr>
        <w:t>形成1份《网站和系统日常巡检报告》，</w:t>
      </w:r>
      <w:r>
        <w:rPr>
          <w:rFonts w:ascii="宋体" w:hAnsi="宋体" w:eastAsia="宋体"/>
          <w:color w:val="000000" w:themeColor="text1"/>
          <w:kern w:val="0"/>
          <w:sz w:val="24"/>
          <w:highlight w:val="none"/>
          <w14:textFill>
            <w14:solidFill>
              <w14:schemeClr w14:val="tx1"/>
            </w14:solidFill>
          </w14:textFill>
        </w:rPr>
        <w:t>确保页面（含主页、重要栏目页面)的信息、图表和附件的可用性以及链接的可用性和准确性，保证应用功能正确运行，保证网站服务正常无误。保障网站功能和接口正常运行，没有技术原因导致的错误。</w:t>
      </w:r>
    </w:p>
    <w:p>
      <w:pPr>
        <w:numPr>
          <w:ilvl w:val="0"/>
          <w:numId w:val="2"/>
        </w:numPr>
        <w:spacing w:line="360" w:lineRule="auto"/>
        <w:ind w:left="0"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网站内容维护：按照市统一要求，将信用广州网有关信息发布、解读回应、互动交流功能等</w:t>
      </w:r>
      <w:r>
        <w:rPr>
          <w:rFonts w:hint="eastAsia" w:ascii="宋体" w:hAnsi="宋体" w:eastAsia="宋体"/>
          <w:color w:val="000000" w:themeColor="text1"/>
          <w:kern w:val="0"/>
          <w:sz w:val="24"/>
          <w:highlight w:val="none"/>
          <w14:textFill>
            <w14:solidFill>
              <w14:schemeClr w14:val="tx1"/>
            </w14:solidFill>
          </w14:textFill>
        </w:rPr>
        <w:t>通过</w:t>
      </w:r>
      <w:r>
        <w:rPr>
          <w:rFonts w:ascii="宋体" w:hAnsi="宋体" w:eastAsia="宋体"/>
          <w:color w:val="000000" w:themeColor="text1"/>
          <w:kern w:val="0"/>
          <w:sz w:val="24"/>
          <w:highlight w:val="none"/>
          <w14:textFill>
            <w14:solidFill>
              <w14:schemeClr w14:val="tx1"/>
            </w14:solidFill>
          </w14:textFill>
        </w:rPr>
        <w:t>政府网站集约化平台</w:t>
      </w:r>
      <w:r>
        <w:rPr>
          <w:rFonts w:hint="eastAsia" w:ascii="宋体" w:hAnsi="宋体" w:eastAsia="宋体"/>
          <w:color w:val="000000" w:themeColor="text1"/>
          <w:kern w:val="0"/>
          <w:sz w:val="24"/>
          <w:highlight w:val="none"/>
          <w14:textFill>
            <w14:solidFill>
              <w14:schemeClr w14:val="tx1"/>
            </w14:solidFill>
          </w14:textFill>
        </w:rPr>
        <w:t>进行维护管理</w:t>
      </w:r>
      <w:r>
        <w:rPr>
          <w:rFonts w:ascii="宋体" w:hAnsi="宋体" w:eastAsia="宋体"/>
          <w:color w:val="000000" w:themeColor="text1"/>
          <w:kern w:val="0"/>
          <w:sz w:val="24"/>
          <w:highlight w:val="none"/>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每季度进行1次网站账号管理，</w:t>
      </w:r>
      <w:r>
        <w:rPr>
          <w:rFonts w:ascii="宋体" w:hAnsi="宋体" w:eastAsia="宋体"/>
          <w:color w:val="000000" w:themeColor="text1"/>
          <w:kern w:val="0"/>
          <w:sz w:val="24"/>
          <w:highlight w:val="none"/>
          <w14:textFill>
            <w14:solidFill>
              <w14:schemeClr w14:val="tx1"/>
            </w14:solidFill>
          </w14:textFill>
        </w:rPr>
        <w:t>实现资源优化融合、平台整合安全、数据互认共享、管理统筹规范、服务便捷高效。</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对信用广州网进行日常的内容维护包括：</w:t>
      </w:r>
    </w:p>
    <w:p>
      <w:pPr>
        <w:spacing w:line="360" w:lineRule="auto"/>
        <w:ind w:firstLine="480" w:firstLineChars="200"/>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①</w:t>
      </w:r>
      <w:r>
        <w:rPr>
          <w:rFonts w:ascii="宋体" w:hAnsi="宋体" w:eastAsia="宋体"/>
          <w:color w:val="000000" w:themeColor="text1"/>
          <w:kern w:val="0"/>
          <w:sz w:val="24"/>
          <w:highlight w:val="none"/>
          <w14:textFill>
            <w14:solidFill>
              <w14:schemeClr w14:val="tx1"/>
            </w14:solidFill>
          </w14:textFill>
        </w:rPr>
        <w:t>网站栏目调整：基于现有模板基础上，增设和删减栏目、频道；对栏目进行调整、合并等操作</w:t>
      </w:r>
      <w:r>
        <w:rPr>
          <w:rFonts w:hint="eastAsia" w:ascii="宋体" w:hAnsi="宋体" w:eastAsia="宋体"/>
          <w:color w:val="000000" w:themeColor="text1"/>
          <w:kern w:val="0"/>
          <w:sz w:val="24"/>
          <w:highlight w:val="none"/>
          <w14:textFill>
            <w14:solidFill>
              <w14:schemeClr w14:val="tx1"/>
            </w14:solidFill>
          </w14:textFill>
        </w:rPr>
        <w:t>，如调整红黑名单栏目主题的配置</w:t>
      </w:r>
      <w:r>
        <w:rPr>
          <w:rFonts w:ascii="宋体" w:hAnsi="宋体" w:eastAsia="宋体"/>
          <w:color w:val="000000" w:themeColor="text1"/>
          <w:kern w:val="0"/>
          <w:sz w:val="24"/>
          <w:highlight w:val="none"/>
          <w14:textFill>
            <w14:solidFill>
              <w14:schemeClr w14:val="tx1"/>
            </w14:solidFill>
          </w14:textFill>
        </w:rPr>
        <w:t>；调整网页上已有版块的位置及展示效果</w:t>
      </w:r>
      <w:r>
        <w:rPr>
          <w:rFonts w:hint="eastAsia" w:ascii="宋体" w:hAnsi="宋体" w:eastAsia="宋体"/>
          <w:color w:val="000000" w:themeColor="text1"/>
          <w:kern w:val="0"/>
          <w:sz w:val="24"/>
          <w:highlight w:val="none"/>
          <w14:textFill>
            <w14:solidFill>
              <w14:schemeClr w14:val="tx1"/>
            </w14:solidFill>
          </w14:textFill>
        </w:rPr>
        <w:t>；②</w:t>
      </w:r>
      <w:r>
        <w:rPr>
          <w:rFonts w:ascii="宋体" w:hAnsi="宋体" w:eastAsia="宋体"/>
          <w:color w:val="000000" w:themeColor="text1"/>
          <w:kern w:val="0"/>
          <w:sz w:val="24"/>
          <w:highlight w:val="none"/>
          <w14:textFill>
            <w14:solidFill>
              <w14:schemeClr w14:val="tx1"/>
            </w14:solidFill>
          </w14:textFill>
        </w:rPr>
        <w:t>图片制作更新：按</w:t>
      </w:r>
      <w:r>
        <w:rPr>
          <w:rFonts w:hint="eastAsia" w:ascii="宋体" w:hAnsi="宋体" w:eastAsia="宋体"/>
          <w:color w:val="000000" w:themeColor="text1"/>
          <w:kern w:val="0"/>
          <w:sz w:val="24"/>
          <w:highlight w:val="none"/>
          <w14:textFill>
            <w14:solidFill>
              <w14:schemeClr w14:val="tx1"/>
            </w14:solidFill>
          </w14:textFill>
        </w:rPr>
        <w:t>相关</w:t>
      </w:r>
      <w:r>
        <w:rPr>
          <w:rFonts w:ascii="宋体" w:hAnsi="宋体" w:eastAsia="宋体"/>
          <w:color w:val="000000" w:themeColor="text1"/>
          <w:kern w:val="0"/>
          <w:sz w:val="24"/>
          <w:highlight w:val="none"/>
          <w14:textFill>
            <w14:solidFill>
              <w14:schemeClr w14:val="tx1"/>
            </w14:solidFill>
          </w14:textFill>
        </w:rPr>
        <w:t>要求，对网站上的图片链接、标题图片、图片新闻、广告图片等进行加工、制作和修改；</w:t>
      </w:r>
      <w:r>
        <w:rPr>
          <w:rFonts w:hint="eastAsia" w:ascii="宋体" w:hAnsi="宋体" w:eastAsia="宋体"/>
          <w:color w:val="000000" w:themeColor="text1"/>
          <w:kern w:val="0"/>
          <w:sz w:val="24"/>
          <w:highlight w:val="none"/>
          <w14:textFill>
            <w14:solidFill>
              <w14:schemeClr w14:val="tx1"/>
            </w14:solidFill>
          </w14:textFill>
        </w:rPr>
        <w:t>③</w:t>
      </w:r>
      <w:r>
        <w:rPr>
          <w:rFonts w:ascii="宋体" w:hAnsi="宋体" w:eastAsia="宋体"/>
          <w:color w:val="000000" w:themeColor="text1"/>
          <w:kern w:val="0"/>
          <w:sz w:val="24"/>
          <w:highlight w:val="none"/>
          <w14:textFill>
            <w14:solidFill>
              <w14:schemeClr w14:val="tx1"/>
            </w14:solidFill>
          </w14:textFill>
        </w:rPr>
        <w:t>信息内容维护：对信用专题、信用动态、政策法规、典型案例等栏目，按照用户要求进行信息发布更新等维护</w:t>
      </w:r>
      <w:r>
        <w:rPr>
          <w:rFonts w:hint="eastAsia" w:ascii="宋体" w:hAnsi="宋体" w:eastAsia="宋体"/>
          <w:color w:val="000000" w:themeColor="text1"/>
          <w:kern w:val="0"/>
          <w:sz w:val="24"/>
          <w:highlight w:val="none"/>
          <w14:textFill>
            <w14:solidFill>
              <w14:schemeClr w14:val="tx1"/>
            </w14:solidFill>
          </w14:textFill>
        </w:rPr>
        <w:t>；按照</w:t>
      </w:r>
      <w:r>
        <w:rPr>
          <w:rFonts w:ascii="宋体" w:hAnsi="宋体" w:eastAsia="宋体"/>
          <w:color w:val="000000" w:themeColor="text1"/>
          <w:kern w:val="0"/>
          <w:sz w:val="24"/>
          <w:highlight w:val="none"/>
          <w14:textFill>
            <w14:solidFill>
              <w14:schemeClr w14:val="tx1"/>
            </w14:solidFill>
          </w14:textFill>
        </w:rPr>
        <w:t>国家公共信用信息报告标准和市信用信息主管部门相关要求</w:t>
      </w:r>
      <w:r>
        <w:rPr>
          <w:rFonts w:hint="eastAsia" w:ascii="宋体" w:hAnsi="宋体" w:eastAsia="宋体"/>
          <w:color w:val="000000" w:themeColor="text1"/>
          <w:kern w:val="0"/>
          <w:sz w:val="24"/>
          <w:highlight w:val="none"/>
          <w14:textFill>
            <w14:solidFill>
              <w14:schemeClr w14:val="tx1"/>
            </w14:solidFill>
          </w14:textFill>
        </w:rPr>
        <w:t>，配置、调整网站信用报告涉及主题。</w:t>
      </w:r>
    </w:p>
    <w:p>
      <w:pPr>
        <w:numPr>
          <w:ilvl w:val="0"/>
          <w:numId w:val="2"/>
        </w:numPr>
        <w:spacing w:line="360" w:lineRule="auto"/>
        <w:ind w:left="0"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故障处理</w:t>
      </w:r>
      <w:r>
        <w:rPr>
          <w:rFonts w:ascii="宋体" w:hAnsi="宋体" w:eastAsia="宋体"/>
          <w:color w:val="000000" w:themeColor="text1"/>
          <w:kern w:val="0"/>
          <w:sz w:val="24"/>
          <w:highlight w:val="none"/>
          <w14:textFill>
            <w14:solidFill>
              <w14:schemeClr w14:val="tx1"/>
            </w14:solidFill>
          </w14:textFill>
        </w:rPr>
        <w:br w:type="textWrapping"/>
      </w:r>
      <w:r>
        <w:rPr>
          <w:rFonts w:ascii="宋体" w:hAnsi="宋体" w:eastAsia="宋体"/>
          <w:color w:val="000000" w:themeColor="text1"/>
          <w:kern w:val="0"/>
          <w:sz w:val="24"/>
          <w:highlight w:val="none"/>
          <w14:textFill>
            <w14:solidFill>
              <w14:schemeClr w14:val="tx1"/>
            </w14:solidFill>
          </w14:textFill>
        </w:rPr>
        <w:t xml:space="preserve">    一旦业务系统发生故障，需要在快速恢复使用的基础上，分析原因并尽快解决根本问题，</w:t>
      </w:r>
      <w:r>
        <w:rPr>
          <w:rFonts w:hint="eastAsia" w:ascii="宋体" w:hAnsi="宋体" w:eastAsia="宋体"/>
          <w:color w:val="000000" w:themeColor="text1"/>
          <w:kern w:val="0"/>
          <w:sz w:val="24"/>
          <w:highlight w:val="none"/>
          <w14:textFill>
            <w14:solidFill>
              <w14:schemeClr w14:val="tx1"/>
            </w14:solidFill>
          </w14:textFill>
        </w:rPr>
        <w:t>针对不同级别故障进行处理，编制</w:t>
      </w:r>
      <w:r>
        <w:rPr>
          <w:rFonts w:ascii="宋体" w:hAnsi="宋体" w:eastAsia="宋体"/>
          <w:color w:val="000000" w:themeColor="text1"/>
          <w:kern w:val="0"/>
          <w:sz w:val="24"/>
          <w:highlight w:val="none"/>
          <w14:textFill>
            <w14:solidFill>
              <w14:schemeClr w14:val="tx1"/>
            </w14:solidFill>
          </w14:textFill>
        </w:rPr>
        <w:t>重大故障报告，报告内容应含有：故障现象、处理过程、影响情况、原因分析、分析说明、应急方案、处理方法等。</w:t>
      </w:r>
    </w:p>
    <w:p>
      <w:pPr>
        <w:numPr>
          <w:ilvl w:val="0"/>
          <w:numId w:val="2"/>
        </w:numPr>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数据备份</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在用户许可的条件下，</w:t>
      </w:r>
      <w:r>
        <w:rPr>
          <w:rFonts w:hint="eastAsia" w:ascii="宋体" w:hAnsi="宋体" w:eastAsia="宋体"/>
          <w:color w:val="000000" w:themeColor="text1"/>
          <w:kern w:val="0"/>
          <w:sz w:val="24"/>
          <w:highlight w:val="none"/>
          <w14:textFill>
            <w14:solidFill>
              <w14:schemeClr w14:val="tx1"/>
            </w14:solidFill>
          </w14:textFill>
        </w:rPr>
        <w:t>每半年</w:t>
      </w:r>
      <w:r>
        <w:rPr>
          <w:rFonts w:ascii="宋体" w:hAnsi="宋体" w:eastAsia="宋体"/>
          <w:color w:val="000000" w:themeColor="text1"/>
          <w:kern w:val="0"/>
          <w:sz w:val="24"/>
          <w:highlight w:val="none"/>
          <w14:textFill>
            <w14:solidFill>
              <w14:schemeClr w14:val="tx1"/>
            </w14:solidFill>
          </w14:textFill>
        </w:rPr>
        <w:t>对应用数据进行临时数据清理、数据导出备份等操作，做好操作记录</w:t>
      </w:r>
      <w:r>
        <w:rPr>
          <w:rFonts w:hint="eastAsia" w:ascii="宋体" w:hAnsi="宋体" w:eastAsia="宋体"/>
          <w:color w:val="000000" w:themeColor="text1"/>
          <w:kern w:val="0"/>
          <w:sz w:val="24"/>
          <w:highlight w:val="none"/>
          <w14:textFill>
            <w14:solidFill>
              <w14:schemeClr w14:val="tx1"/>
            </w14:solidFill>
          </w14:textFill>
        </w:rPr>
        <w:t>，并提供系统相关《数据库和系统应用备份策略》材料</w:t>
      </w:r>
      <w:r>
        <w:rPr>
          <w:rFonts w:ascii="宋体" w:hAnsi="宋体" w:eastAsia="宋体"/>
          <w:color w:val="000000" w:themeColor="text1"/>
          <w:kern w:val="0"/>
          <w:sz w:val="24"/>
          <w:highlight w:val="none"/>
          <w14:textFill>
            <w14:solidFill>
              <w14:schemeClr w14:val="tx1"/>
            </w14:solidFill>
          </w14:textFill>
        </w:rPr>
        <w:t>。</w:t>
      </w:r>
    </w:p>
    <w:p>
      <w:pPr>
        <w:numPr>
          <w:ilvl w:val="0"/>
          <w:numId w:val="2"/>
        </w:numPr>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软件变更管理</w:t>
      </w:r>
    </w:p>
    <w:p>
      <w:pPr>
        <w:spacing w:line="360" w:lineRule="auto"/>
        <w:ind w:firstLine="480" w:firstLineChars="200"/>
        <w:rPr>
          <w:rFonts w:ascii="Times New Roman" w:hAnsi="Times New Roman" w:eastAsia="宋体"/>
          <w:color w:val="000000" w:themeColor="text1"/>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每半年</w:t>
      </w:r>
      <w:r>
        <w:rPr>
          <w:rFonts w:ascii="宋体" w:hAnsi="宋体" w:eastAsia="宋体"/>
          <w:color w:val="000000" w:themeColor="text1"/>
          <w:kern w:val="0"/>
          <w:sz w:val="24"/>
          <w:highlight w:val="none"/>
          <w14:textFill>
            <w14:solidFill>
              <w14:schemeClr w14:val="tx1"/>
            </w14:solidFill>
          </w14:textFill>
        </w:rPr>
        <w:t>收集用户的变更需求，并分析用户的变更需求，分析需求的合理性、风险、影响范围、可行性等，通过规范化的变更管理流程进行管理和控制，以免变更可能产生负面的影响，避免因系统变更导致应用性能缓慢，避免因系统变更导致某些业务无法正常运行，避免因系统变更导致数据传输与交换工作无法正常进行。</w:t>
      </w:r>
    </w:p>
    <w:p>
      <w:pPr>
        <w:pStyle w:val="2"/>
        <w:spacing w:line="360" w:lineRule="auto"/>
        <w:ind w:left="0" w:firstLine="480" w:firstLineChars="200"/>
        <w:rPr>
          <w:rFonts w:ascii="宋体" w:hAnsi="宋体"/>
          <w:color w:val="000000" w:themeColor="text1"/>
          <w:highlight w:val="none"/>
          <w14:textFill>
            <w14:solidFill>
              <w14:schemeClr w14:val="tx1"/>
            </w14:solidFill>
          </w14:textFill>
        </w:rPr>
      </w:pPr>
      <w:r>
        <w:rPr>
          <w:rFonts w:hint="eastAsia" w:ascii="宋体" w:hAnsi="宋体" w:cs="等线"/>
          <w:bCs/>
          <w:color w:val="000000" w:themeColor="text1"/>
          <w:kern w:val="0"/>
          <w:sz w:val="24"/>
          <w:highlight w:val="none"/>
          <w14:textFill>
            <w14:solidFill>
              <w14:schemeClr w14:val="tx1"/>
            </w14:solidFill>
          </w14:textFill>
        </w:rPr>
        <w:t>（2）</w:t>
      </w:r>
      <w:r>
        <w:rPr>
          <w:rFonts w:ascii="宋体" w:hAnsi="宋体" w:cs="等线"/>
          <w:bCs/>
          <w:color w:val="000000" w:themeColor="text1"/>
          <w:kern w:val="0"/>
          <w:sz w:val="24"/>
          <w:highlight w:val="none"/>
          <w14:textFill>
            <w14:solidFill>
              <w14:schemeClr w14:val="tx1"/>
            </w14:solidFill>
          </w14:textFill>
        </w:rPr>
        <w:t>三个服务系统运行维护</w:t>
      </w:r>
    </w:p>
    <w:p>
      <w:pPr>
        <w:numPr>
          <w:ilvl w:val="0"/>
          <w:numId w:val="2"/>
        </w:numPr>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日常监控</w:t>
      </w:r>
    </w:p>
    <w:p>
      <w:pPr>
        <w:spacing w:line="360" w:lineRule="auto"/>
        <w:ind w:firstLine="480" w:firstLineChars="200"/>
        <w:rPr>
          <w:color w:val="000000" w:themeColor="text1"/>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配合云服务平台运维单位</w:t>
      </w:r>
      <w:r>
        <w:rPr>
          <w:rFonts w:hint="eastAsia" w:ascii="宋体" w:hAnsi="宋体" w:eastAsia="宋体"/>
          <w:color w:val="000000" w:themeColor="text1"/>
          <w:kern w:val="0"/>
          <w:sz w:val="24"/>
          <w:highlight w:val="none"/>
          <w14:textFill>
            <w14:solidFill>
              <w14:schemeClr w14:val="tx1"/>
            </w14:solidFill>
          </w14:textFill>
        </w:rPr>
        <w:t>以及相关监控平台</w:t>
      </w:r>
      <w:r>
        <w:rPr>
          <w:rFonts w:ascii="宋体" w:hAnsi="宋体" w:eastAsia="宋体"/>
          <w:color w:val="000000" w:themeColor="text1"/>
          <w:kern w:val="0"/>
          <w:sz w:val="24"/>
          <w:highlight w:val="none"/>
          <w14:textFill>
            <w14:solidFill>
              <w14:schemeClr w14:val="tx1"/>
            </w14:solidFill>
          </w14:textFill>
        </w:rPr>
        <w:t>，对主机、操作系统、中间件、数据库、网络、应用软件等资源使用情况及运行状况进行监控，如发现问题</w:t>
      </w:r>
      <w:r>
        <w:rPr>
          <w:rFonts w:hint="eastAsia" w:ascii="宋体" w:hAnsi="宋体" w:eastAsia="宋体"/>
          <w:color w:val="000000" w:themeColor="text1"/>
          <w:kern w:val="0"/>
          <w:sz w:val="24"/>
          <w:highlight w:val="none"/>
          <w14:textFill>
            <w14:solidFill>
              <w14:schemeClr w14:val="tx1"/>
            </w14:solidFill>
          </w14:textFill>
        </w:rPr>
        <w:t>须在30分钟内</w:t>
      </w:r>
      <w:r>
        <w:rPr>
          <w:rFonts w:ascii="宋体" w:hAnsi="宋体" w:eastAsia="宋体"/>
          <w:color w:val="000000" w:themeColor="text1"/>
          <w:kern w:val="0"/>
          <w:sz w:val="24"/>
          <w:highlight w:val="none"/>
          <w14:textFill>
            <w14:solidFill>
              <w14:schemeClr w14:val="tx1"/>
            </w14:solidFill>
          </w14:textFill>
        </w:rPr>
        <w:t>向相关管理人员进行汇报，及时处理，并做好记录。</w:t>
      </w:r>
    </w:p>
    <w:p>
      <w:pPr>
        <w:numPr>
          <w:ilvl w:val="0"/>
          <w:numId w:val="2"/>
        </w:numPr>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系统常态化巡检</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每日1次</w:t>
      </w:r>
      <w:r>
        <w:rPr>
          <w:rFonts w:ascii="宋体" w:hAnsi="宋体" w:eastAsia="宋体"/>
          <w:color w:val="000000" w:themeColor="text1"/>
          <w:kern w:val="0"/>
          <w:sz w:val="24"/>
          <w:highlight w:val="none"/>
          <w14:textFill>
            <w14:solidFill>
              <w14:schemeClr w14:val="tx1"/>
            </w14:solidFill>
          </w14:textFill>
        </w:rPr>
        <w:t>按要求对系统页面和应用功能组件进行日常巡检，</w:t>
      </w:r>
      <w:r>
        <w:rPr>
          <w:rFonts w:hint="eastAsia" w:ascii="宋体" w:hAnsi="宋体" w:eastAsia="宋体"/>
          <w:color w:val="000000" w:themeColor="text1"/>
          <w:kern w:val="0"/>
          <w:sz w:val="24"/>
          <w:highlight w:val="none"/>
          <w14:textFill>
            <w14:solidFill>
              <w14:schemeClr w14:val="tx1"/>
            </w14:solidFill>
          </w14:textFill>
        </w:rPr>
        <w:t>形成《网站或系统日常巡检报告》，</w:t>
      </w:r>
      <w:r>
        <w:rPr>
          <w:rFonts w:ascii="宋体" w:hAnsi="宋体" w:eastAsia="宋体"/>
          <w:color w:val="000000" w:themeColor="text1"/>
          <w:kern w:val="0"/>
          <w:sz w:val="24"/>
          <w:highlight w:val="none"/>
          <w14:textFill>
            <w14:solidFill>
              <w14:schemeClr w14:val="tx1"/>
            </w14:solidFill>
          </w14:textFill>
        </w:rPr>
        <w:t>确保页面（含主页、重要栏目页面)的信息、图表和附件的可用性以及链接的可用性和准确性，保证应用功能正确运行，保证网站服务正常无误。保障网站功能和接口正常运行，没有技术原因导致的错误。</w:t>
      </w:r>
    </w:p>
    <w:p>
      <w:pPr>
        <w:numPr>
          <w:ilvl w:val="0"/>
          <w:numId w:val="2"/>
        </w:num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应用配置</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根据用户需求，进行系统的配置管理，包括：系统内外部接口、定制任务等部署配置、用户角色权限配置</w:t>
      </w:r>
      <w:r>
        <w:rPr>
          <w:rFonts w:hint="eastAsia" w:ascii="宋体" w:hAnsi="宋体" w:eastAsia="宋体"/>
          <w:color w:val="000000" w:themeColor="text1"/>
          <w:kern w:val="0"/>
          <w:sz w:val="24"/>
          <w:highlight w:val="none"/>
          <w14:textFill>
            <w14:solidFill>
              <w14:schemeClr w14:val="tx1"/>
            </w14:solidFill>
          </w14:textFill>
        </w:rPr>
        <w:t>。做好与“信易贷（广州站）”的信用数据接口配置和维护保障工作，对接口调用字段、时间等2种规则进行配置管理，及时处理社保数据调用问题，在“信易贷（广州站）”通过接口调用企业、自然人等信用信息时，采取日志记录存档备查等至少1种措施保障数据安全。</w:t>
      </w:r>
    </w:p>
    <w:p>
      <w:pPr>
        <w:numPr>
          <w:ilvl w:val="0"/>
          <w:numId w:val="2"/>
        </w:numPr>
        <w:spacing w:line="360" w:lineRule="auto"/>
        <w:ind w:left="0"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故障处理</w:t>
      </w:r>
    </w:p>
    <w:p>
      <w:pPr>
        <w:spacing w:line="360" w:lineRule="auto"/>
        <w:ind w:firstLine="48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一旦业务系统发生故障，2小时内恢复使用的基础上，分析原因并尽快解决根本问题，一周内完成故障报告编制，对于重大故障，于3个工作日内完成重大故障报告编制，报告内容应含有：故障现象、处理过程、影响情况、原因分析、分析说明、应急方案、处理方法等。</w:t>
      </w:r>
    </w:p>
    <w:p>
      <w:pPr>
        <w:numPr>
          <w:ilvl w:val="0"/>
          <w:numId w:val="2"/>
        </w:numPr>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数据备份</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在用户许可的条件下，</w:t>
      </w:r>
      <w:r>
        <w:rPr>
          <w:rFonts w:hint="eastAsia" w:ascii="宋体" w:hAnsi="宋体" w:eastAsia="宋体"/>
          <w:color w:val="000000" w:themeColor="text1"/>
          <w:kern w:val="0"/>
          <w:sz w:val="24"/>
          <w:highlight w:val="none"/>
          <w14:textFill>
            <w14:solidFill>
              <w14:schemeClr w14:val="tx1"/>
            </w14:solidFill>
          </w14:textFill>
        </w:rPr>
        <w:t>每季度</w:t>
      </w:r>
      <w:r>
        <w:rPr>
          <w:rFonts w:ascii="宋体" w:hAnsi="宋体" w:eastAsia="宋体"/>
          <w:color w:val="000000" w:themeColor="text1"/>
          <w:kern w:val="0"/>
          <w:sz w:val="24"/>
          <w:highlight w:val="none"/>
          <w14:textFill>
            <w14:solidFill>
              <w14:schemeClr w14:val="tx1"/>
            </w14:solidFill>
          </w14:textFill>
        </w:rPr>
        <w:t>对应用数据</w:t>
      </w:r>
      <w:r>
        <w:rPr>
          <w:rFonts w:hint="eastAsia" w:ascii="宋体" w:hAnsi="宋体" w:eastAsia="宋体"/>
          <w:color w:val="000000" w:themeColor="text1"/>
          <w:kern w:val="0"/>
          <w:sz w:val="24"/>
          <w:highlight w:val="none"/>
          <w14:textFill>
            <w14:solidFill>
              <w14:schemeClr w14:val="tx1"/>
            </w14:solidFill>
          </w14:textFill>
        </w:rPr>
        <w:t>开展1次</w:t>
      </w:r>
      <w:r>
        <w:rPr>
          <w:rFonts w:ascii="宋体" w:hAnsi="宋体" w:eastAsia="宋体"/>
          <w:color w:val="000000" w:themeColor="text1"/>
          <w:kern w:val="0"/>
          <w:sz w:val="24"/>
          <w:highlight w:val="none"/>
          <w14:textFill>
            <w14:solidFill>
              <w14:schemeClr w14:val="tx1"/>
            </w14:solidFill>
          </w14:textFill>
        </w:rPr>
        <w:t>临时数据清理、数据导出备份等操作，做好操作记录</w:t>
      </w:r>
      <w:r>
        <w:rPr>
          <w:rFonts w:hint="eastAsia" w:ascii="宋体" w:hAnsi="宋体" w:eastAsia="宋体"/>
          <w:color w:val="000000" w:themeColor="text1"/>
          <w:kern w:val="0"/>
          <w:sz w:val="24"/>
          <w:highlight w:val="none"/>
          <w14:textFill>
            <w14:solidFill>
              <w14:schemeClr w14:val="tx1"/>
            </w14:solidFill>
          </w14:textFill>
        </w:rPr>
        <w:t>，并提供系统相关《数据库和系统应用备份策略》材料</w:t>
      </w:r>
      <w:r>
        <w:rPr>
          <w:rFonts w:ascii="宋体" w:hAnsi="宋体" w:eastAsia="宋体"/>
          <w:color w:val="000000" w:themeColor="text1"/>
          <w:kern w:val="0"/>
          <w:sz w:val="24"/>
          <w:highlight w:val="none"/>
          <w14:textFill>
            <w14:solidFill>
              <w14:schemeClr w14:val="tx1"/>
            </w14:solidFill>
          </w14:textFill>
        </w:rPr>
        <w:t>。</w:t>
      </w:r>
    </w:p>
    <w:p>
      <w:pPr>
        <w:numPr>
          <w:ilvl w:val="0"/>
          <w:numId w:val="2"/>
        </w:numPr>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软件变更管理</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每半年</w:t>
      </w:r>
      <w:r>
        <w:rPr>
          <w:rFonts w:ascii="宋体" w:hAnsi="宋体" w:eastAsia="宋体"/>
          <w:color w:val="000000" w:themeColor="text1"/>
          <w:kern w:val="0"/>
          <w:sz w:val="24"/>
          <w:highlight w:val="none"/>
          <w14:textFill>
            <w14:solidFill>
              <w14:schemeClr w14:val="tx1"/>
            </w14:solidFill>
          </w14:textFill>
        </w:rPr>
        <w:t>收集</w:t>
      </w:r>
      <w:r>
        <w:rPr>
          <w:rFonts w:hint="eastAsia" w:ascii="宋体" w:hAnsi="宋体" w:eastAsia="宋体"/>
          <w:color w:val="000000" w:themeColor="text1"/>
          <w:kern w:val="0"/>
          <w:sz w:val="24"/>
          <w:highlight w:val="none"/>
          <w14:textFill>
            <w14:solidFill>
              <w14:schemeClr w14:val="tx1"/>
            </w14:solidFill>
          </w14:textFill>
        </w:rPr>
        <w:t>1次</w:t>
      </w:r>
      <w:r>
        <w:rPr>
          <w:rFonts w:ascii="宋体" w:hAnsi="宋体" w:eastAsia="宋体"/>
          <w:color w:val="000000" w:themeColor="text1"/>
          <w:kern w:val="0"/>
          <w:sz w:val="24"/>
          <w:highlight w:val="none"/>
          <w14:textFill>
            <w14:solidFill>
              <w14:schemeClr w14:val="tx1"/>
            </w14:solidFill>
          </w14:textFill>
        </w:rPr>
        <w:t>用户的变更需求，并分析用户的变更需求，分析需求的合理性、风险、影响范围、可行性等，通过规范化的变更管理流程进行管理和控制，以免变更可能产生负面的影响，避免因系统变更导致应用性能缓慢，避免因系统变更导致某些业务无法正常运行，避免因系统变更导致数据传输与交换工作无法正常进行。</w:t>
      </w:r>
    </w:p>
    <w:p>
      <w:pPr>
        <w:numPr>
          <w:ilvl w:val="0"/>
          <w:numId w:val="2"/>
        </w:numPr>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软件发布管理，包括：制定发布计划；对发布包进行发布测试；实施发布。</w:t>
      </w:r>
    </w:p>
    <w:p>
      <w:pPr>
        <w:pStyle w:val="2"/>
        <w:spacing w:line="360" w:lineRule="auto"/>
        <w:ind w:left="0" w:firstLine="480" w:firstLineChars="200"/>
        <w:rPr>
          <w:rFonts w:ascii="宋体" w:hAnsi="宋体" w:cs="等线"/>
          <w:bCs/>
          <w:color w:val="000000" w:themeColor="text1"/>
          <w:kern w:val="0"/>
          <w:sz w:val="24"/>
          <w:highlight w:val="none"/>
          <w14:textFill>
            <w14:solidFill>
              <w14:schemeClr w14:val="tx1"/>
            </w14:solidFill>
          </w14:textFill>
        </w:rPr>
      </w:pPr>
      <w:r>
        <w:rPr>
          <w:rFonts w:hint="eastAsia" w:ascii="宋体" w:hAnsi="宋体" w:cs="等线"/>
          <w:bCs/>
          <w:color w:val="000000" w:themeColor="text1"/>
          <w:kern w:val="0"/>
          <w:sz w:val="24"/>
          <w:highlight w:val="none"/>
          <w14:textFill>
            <w14:solidFill>
              <w14:schemeClr w14:val="tx1"/>
            </w14:solidFill>
          </w14:textFill>
        </w:rPr>
        <w:t>（3）</w:t>
      </w:r>
      <w:r>
        <w:rPr>
          <w:rFonts w:ascii="宋体" w:hAnsi="宋体" w:cs="等线"/>
          <w:bCs/>
          <w:color w:val="000000" w:themeColor="text1"/>
          <w:kern w:val="0"/>
          <w:sz w:val="24"/>
          <w:highlight w:val="none"/>
          <w14:textFill>
            <w14:solidFill>
              <w14:schemeClr w14:val="tx1"/>
            </w14:solidFill>
          </w14:textFill>
        </w:rPr>
        <w:t>双公示管理系统（政府服务系统）运行维护</w:t>
      </w:r>
    </w:p>
    <w:p>
      <w:pPr>
        <w:spacing w:line="360" w:lineRule="auto"/>
        <w:ind w:firstLine="480" w:firstLineChars="200"/>
        <w:rPr>
          <w:rFonts w:ascii="宋体" w:hAnsi="宋体" w:eastAsia="宋体"/>
          <w:color w:val="000000" w:themeColor="text1"/>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双公示数据政府服务系统入口维护及支撑服务，双公示数据标准规则调整，双公示导入模板优化与维护等工作</w:t>
      </w:r>
      <w:r>
        <w:rPr>
          <w:rFonts w:hint="eastAsia" w:ascii="宋体" w:hAnsi="宋体" w:eastAsia="宋体"/>
          <w:color w:val="000000" w:themeColor="text1"/>
          <w:kern w:val="0"/>
          <w:sz w:val="24"/>
          <w:highlight w:val="none"/>
          <w14:textFill>
            <w14:solidFill>
              <w14:schemeClr w14:val="tx1"/>
            </w14:solidFill>
          </w14:textFill>
        </w:rPr>
        <w:t>。按照国家和省关于行政许可、行政处罚双公示数据及时性、准确性和完整性的要求，采用对双公示数据的文书号、相对人名称与统一社会信用代码等2种校验措施，对双公示数据进行校验和整改工作，确保通过共享交换和系统填报双公示数据的及时性和准确性，同时配合信用主管部门，采用文书号连续性抽查等1种手段对归集到系统的双公示数据进行抽查检查，并做好数据核查等工作。</w:t>
      </w:r>
    </w:p>
    <w:p>
      <w:pPr>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（4）应用系统使用技术支持</w:t>
      </w:r>
    </w:p>
    <w:p>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提供技术咨询、信用系统培训、使用指导等，包括根据国家、省、市的行政许可、行政处罚双公示数据标准和填报要求，开展至少1次技术培训，针对双公示数据填报的关键字段、填写规则以及信用修复的技术流程进行培训。</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w:t>
      </w:r>
      <w:r>
        <w:rPr>
          <w:rFonts w:ascii="宋体" w:hAnsi="宋体" w:eastAsia="宋体"/>
          <w:color w:val="000000" w:themeColor="text1"/>
          <w:kern w:val="0"/>
          <w:sz w:val="24"/>
          <w:highlight w:val="none"/>
          <w14:textFill>
            <w14:solidFill>
              <w14:schemeClr w14:val="tx1"/>
            </w14:solidFill>
          </w14:textFill>
        </w:rPr>
        <w:t>数据库系统日常运维</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ascii="宋体" w:hAnsi="宋体" w:eastAsia="宋体"/>
          <w:color w:val="000000" w:themeColor="text1"/>
          <w:kern w:val="0"/>
          <w:sz w:val="24"/>
          <w:highlight w:val="none"/>
          <w14:textFill>
            <w14:solidFill>
              <w14:schemeClr w14:val="tx1"/>
            </w14:solidFill>
          </w14:textFill>
        </w:rPr>
        <w:t>数据库配置处理</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每年</w:t>
      </w:r>
      <w:r>
        <w:rPr>
          <w:rFonts w:ascii="宋体" w:hAnsi="宋体" w:eastAsia="宋体"/>
          <w:color w:val="000000" w:themeColor="text1"/>
          <w:kern w:val="0"/>
          <w:sz w:val="24"/>
          <w:highlight w:val="none"/>
          <w14:textFill>
            <w14:solidFill>
              <w14:schemeClr w14:val="tx1"/>
            </w14:solidFill>
          </w14:textFill>
        </w:rPr>
        <w:t>按照新版信用目录，调整数据库配置，对归集的信用主题及其他信用专项主题在入库时，完成数据处理程序、数据处理任务的配置。</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w:t>
      </w:r>
      <w:r>
        <w:rPr>
          <w:rFonts w:ascii="宋体" w:hAnsi="宋体" w:eastAsia="宋体"/>
          <w:color w:val="000000" w:themeColor="text1"/>
          <w:kern w:val="0"/>
          <w:sz w:val="24"/>
          <w:highlight w:val="none"/>
          <w14:textFill>
            <w14:solidFill>
              <w14:schemeClr w14:val="tx1"/>
            </w14:solidFill>
          </w14:textFill>
        </w:rPr>
        <w:t>档案库、服务库应用模式优化</w:t>
      </w:r>
    </w:p>
    <w:p>
      <w:pPr>
        <w:spacing w:line="360" w:lineRule="auto"/>
        <w:ind w:firstLine="480" w:firstLineChars="200"/>
        <w:rPr>
          <w:rFonts w:hint="eastAsia"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根据数据更新需求和应用需求，优化调整服务库应用模式，如主表子表模式拆分，服务库索引维护，服务库数据有效期调整，目录修改等</w:t>
      </w:r>
      <w:r>
        <w:rPr>
          <w:rFonts w:hint="eastAsia" w:ascii="宋体" w:hAnsi="宋体" w:eastAsia="宋体"/>
          <w:color w:val="000000" w:themeColor="text1"/>
          <w:kern w:val="0"/>
          <w:sz w:val="24"/>
          <w:highlight w:val="none"/>
          <w14:textFill>
            <w14:solidFill>
              <w14:schemeClr w14:val="tx1"/>
            </w14:solidFill>
          </w14:textFill>
        </w:rPr>
        <w:t>。</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（3）</w:t>
      </w:r>
      <w:r>
        <w:rPr>
          <w:rFonts w:ascii="宋体" w:hAnsi="宋体" w:eastAsia="宋体"/>
          <w:color w:val="000000" w:themeColor="text1"/>
          <w:kern w:val="0"/>
          <w:sz w:val="24"/>
          <w:highlight w:val="none"/>
          <w14:textFill>
            <w14:solidFill>
              <w14:schemeClr w14:val="tx1"/>
            </w14:solidFill>
          </w14:textFill>
        </w:rPr>
        <w:t>系统运行维护</w:t>
      </w:r>
    </w:p>
    <w:p>
      <w:pPr>
        <w:numPr>
          <w:ilvl w:val="0"/>
          <w:numId w:val="3"/>
        </w:numPr>
        <w:tabs>
          <w:tab w:val="left" w:pos="420"/>
        </w:tabs>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数据归集系统、资源目录系统、统一权限系统：根据用户需求进行优化完善、系统运行情况监控、异常处理、应用版本管理、系统部署、配合运维部进行系统巡检、系统业务处理、系统备份等工作</w:t>
      </w:r>
      <w:r>
        <w:rPr>
          <w:rFonts w:hint="eastAsia" w:ascii="宋体" w:hAnsi="宋体" w:eastAsia="宋体"/>
          <w:color w:val="000000" w:themeColor="text1"/>
          <w:kern w:val="0"/>
          <w:sz w:val="24"/>
          <w:highlight w:val="none"/>
          <w14:textFill>
            <w14:solidFill>
              <w14:schemeClr w14:val="tx1"/>
            </w14:solidFill>
          </w14:textFill>
        </w:rPr>
        <w:t>，其中，每月开展1次系统备份工作。</w:t>
      </w:r>
    </w:p>
    <w:p>
      <w:pPr>
        <w:numPr>
          <w:ilvl w:val="0"/>
          <w:numId w:val="3"/>
        </w:numPr>
        <w:tabs>
          <w:tab w:val="left" w:pos="420"/>
        </w:tabs>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ETL中间件：负责ETL中间件的日常运维，具体包括</w:t>
      </w:r>
      <w:r>
        <w:rPr>
          <w:rFonts w:hint="eastAsia" w:ascii="宋体" w:hAnsi="宋体" w:eastAsia="宋体"/>
          <w:color w:val="000000" w:themeColor="text1"/>
          <w:kern w:val="0"/>
          <w:sz w:val="24"/>
          <w:highlight w:val="none"/>
          <w14:textFill>
            <w14:solidFill>
              <w14:schemeClr w14:val="tx1"/>
            </w14:solidFill>
          </w14:textFill>
        </w:rPr>
        <w:t>每个工作日开展</w:t>
      </w:r>
      <w:r>
        <w:rPr>
          <w:rFonts w:ascii="宋体" w:hAnsi="宋体" w:eastAsia="宋体"/>
          <w:color w:val="000000" w:themeColor="text1"/>
          <w:kern w:val="0"/>
          <w:sz w:val="24"/>
          <w:highlight w:val="none"/>
          <w14:textFill>
            <w14:solidFill>
              <w14:schemeClr w14:val="tx1"/>
            </w14:solidFill>
          </w14:textFill>
        </w:rPr>
        <w:t>任务监控、异常处理、错误修复、任务重跑、服务器监控、服务器异常处理、配合运维部进行系统巡检等工作。</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（4）</w:t>
      </w:r>
      <w:r>
        <w:rPr>
          <w:rFonts w:ascii="宋体" w:hAnsi="宋体" w:eastAsia="宋体"/>
          <w:color w:val="000000" w:themeColor="text1"/>
          <w:kern w:val="0"/>
          <w:sz w:val="24"/>
          <w:highlight w:val="none"/>
          <w14:textFill>
            <w14:solidFill>
              <w14:schemeClr w14:val="tx1"/>
            </w14:solidFill>
          </w14:textFill>
        </w:rPr>
        <w:t>信用信息数据库运行维护</w:t>
      </w:r>
    </w:p>
    <w:p>
      <w:pPr>
        <w:numPr>
          <w:ilvl w:val="0"/>
          <w:numId w:val="4"/>
        </w:numPr>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负责数据库的日常维护，具体包括</w:t>
      </w:r>
      <w:r>
        <w:rPr>
          <w:rFonts w:hint="eastAsia" w:ascii="宋体" w:hAnsi="宋体" w:eastAsia="宋体"/>
          <w:color w:val="000000" w:themeColor="text1"/>
          <w:kern w:val="0"/>
          <w:sz w:val="24"/>
          <w:highlight w:val="none"/>
          <w14:textFill>
            <w14:solidFill>
              <w14:schemeClr w14:val="tx1"/>
            </w14:solidFill>
          </w14:textFill>
        </w:rPr>
        <w:t>每周开展</w:t>
      </w:r>
      <w:r>
        <w:rPr>
          <w:rFonts w:ascii="宋体" w:hAnsi="宋体" w:eastAsia="宋体"/>
          <w:color w:val="000000" w:themeColor="text1"/>
          <w:kern w:val="0"/>
          <w:sz w:val="24"/>
          <w:highlight w:val="none"/>
          <w14:textFill>
            <w14:solidFill>
              <w14:schemeClr w14:val="tx1"/>
            </w14:solidFill>
          </w14:textFill>
        </w:rPr>
        <w:t>数据健康检查、数据容量监控</w:t>
      </w:r>
      <w:r>
        <w:rPr>
          <w:rFonts w:hint="eastAsia" w:ascii="宋体" w:hAnsi="宋体" w:eastAsia="宋体"/>
          <w:color w:val="000000" w:themeColor="text1"/>
          <w:kern w:val="0"/>
          <w:sz w:val="24"/>
          <w:highlight w:val="none"/>
          <w14:textFill>
            <w14:solidFill>
              <w14:schemeClr w14:val="tx1"/>
            </w14:solidFill>
          </w14:textFill>
        </w:rPr>
        <w:t>；每个工作日对</w:t>
      </w:r>
      <w:r>
        <w:rPr>
          <w:rFonts w:ascii="宋体" w:hAnsi="宋体" w:eastAsia="宋体"/>
          <w:color w:val="000000" w:themeColor="text1"/>
          <w:kern w:val="0"/>
          <w:sz w:val="24"/>
          <w:highlight w:val="none"/>
          <w14:textFill>
            <w14:solidFill>
              <w14:schemeClr w14:val="tx1"/>
            </w14:solidFill>
          </w14:textFill>
        </w:rPr>
        <w:t>数据库</w:t>
      </w:r>
      <w:r>
        <w:rPr>
          <w:rFonts w:hint="eastAsia" w:ascii="宋体" w:hAnsi="宋体" w:eastAsia="宋体"/>
          <w:color w:val="000000" w:themeColor="text1"/>
          <w:kern w:val="0"/>
          <w:sz w:val="24"/>
          <w:highlight w:val="none"/>
          <w14:textFill>
            <w14:solidFill>
              <w14:schemeClr w14:val="tx1"/>
            </w14:solidFill>
          </w14:textFill>
        </w:rPr>
        <w:t>进行巡检，对</w:t>
      </w:r>
      <w:r>
        <w:rPr>
          <w:rFonts w:ascii="宋体" w:hAnsi="宋体" w:eastAsia="宋体"/>
          <w:color w:val="000000" w:themeColor="text1"/>
          <w:kern w:val="0"/>
          <w:sz w:val="24"/>
          <w:highlight w:val="none"/>
          <w14:textFill>
            <w14:solidFill>
              <w14:schemeClr w14:val="tx1"/>
            </w14:solidFill>
          </w14:textFill>
        </w:rPr>
        <w:t>异常</w:t>
      </w:r>
      <w:r>
        <w:rPr>
          <w:rFonts w:hint="eastAsia" w:ascii="宋体" w:hAnsi="宋体" w:eastAsia="宋体"/>
          <w:color w:val="000000" w:themeColor="text1"/>
          <w:kern w:val="0"/>
          <w:sz w:val="24"/>
          <w:highlight w:val="none"/>
          <w14:textFill>
            <w14:solidFill>
              <w14:schemeClr w14:val="tx1"/>
            </w14:solidFill>
          </w14:textFill>
        </w:rPr>
        <w:t>进行</w:t>
      </w:r>
      <w:r>
        <w:rPr>
          <w:rFonts w:ascii="宋体" w:hAnsi="宋体" w:eastAsia="宋体"/>
          <w:color w:val="000000" w:themeColor="text1"/>
          <w:kern w:val="0"/>
          <w:sz w:val="24"/>
          <w:highlight w:val="none"/>
          <w14:textFill>
            <w14:solidFill>
              <w14:schemeClr w14:val="tx1"/>
            </w14:solidFill>
          </w14:textFill>
        </w:rPr>
        <w:t>处理</w:t>
      </w:r>
      <w:r>
        <w:rPr>
          <w:rFonts w:hint="eastAsia" w:ascii="宋体" w:hAnsi="宋体" w:eastAsia="宋体"/>
          <w:color w:val="000000" w:themeColor="text1"/>
          <w:kern w:val="0"/>
          <w:sz w:val="24"/>
          <w:highlight w:val="none"/>
          <w14:textFill>
            <w14:solidFill>
              <w14:schemeClr w14:val="tx1"/>
            </w14:solidFill>
          </w14:textFill>
        </w:rPr>
        <w:t>，每月安排对数据库相关</w:t>
      </w:r>
      <w:r>
        <w:rPr>
          <w:rFonts w:ascii="宋体" w:hAnsi="宋体" w:eastAsia="宋体"/>
          <w:color w:val="000000" w:themeColor="text1"/>
          <w:kern w:val="0"/>
          <w:sz w:val="24"/>
          <w:highlight w:val="none"/>
          <w14:textFill>
            <w14:solidFill>
              <w14:schemeClr w14:val="tx1"/>
            </w14:solidFill>
          </w14:textFill>
        </w:rPr>
        <w:t>需求</w:t>
      </w:r>
      <w:r>
        <w:rPr>
          <w:rFonts w:hint="eastAsia" w:ascii="宋体" w:hAnsi="宋体" w:eastAsia="宋体"/>
          <w:color w:val="000000" w:themeColor="text1"/>
          <w:kern w:val="0"/>
          <w:sz w:val="24"/>
          <w:highlight w:val="none"/>
          <w14:textFill>
            <w14:solidFill>
              <w14:schemeClr w14:val="tx1"/>
            </w14:solidFill>
          </w14:textFill>
        </w:rPr>
        <w:t>进行</w:t>
      </w:r>
      <w:r>
        <w:rPr>
          <w:rFonts w:ascii="宋体" w:hAnsi="宋体" w:eastAsia="宋体"/>
          <w:color w:val="000000" w:themeColor="text1"/>
          <w:kern w:val="0"/>
          <w:sz w:val="24"/>
          <w:highlight w:val="none"/>
          <w14:textFill>
            <w14:solidFill>
              <w14:schemeClr w14:val="tx1"/>
            </w14:solidFill>
          </w14:textFill>
        </w:rPr>
        <w:t>调整落实</w:t>
      </w:r>
      <w:r>
        <w:rPr>
          <w:rFonts w:hint="eastAsia" w:ascii="宋体" w:hAnsi="宋体" w:eastAsia="宋体"/>
          <w:color w:val="000000" w:themeColor="text1"/>
          <w:kern w:val="0"/>
          <w:sz w:val="24"/>
          <w:highlight w:val="none"/>
          <w14:textFill>
            <w14:solidFill>
              <w14:schemeClr w14:val="tx1"/>
            </w14:solidFill>
          </w14:textFill>
        </w:rPr>
        <w:t>，每月</w:t>
      </w:r>
      <w:r>
        <w:rPr>
          <w:rFonts w:ascii="宋体" w:hAnsi="宋体" w:eastAsia="宋体"/>
          <w:color w:val="000000" w:themeColor="text1"/>
          <w:kern w:val="0"/>
          <w:sz w:val="24"/>
          <w:highlight w:val="none"/>
          <w14:textFill>
            <w14:solidFill>
              <w14:schemeClr w14:val="tx1"/>
            </w14:solidFill>
          </w14:textFill>
        </w:rPr>
        <w:t>配合</w:t>
      </w:r>
      <w:r>
        <w:rPr>
          <w:rFonts w:hint="eastAsia" w:ascii="宋体" w:hAnsi="宋体" w:eastAsia="宋体"/>
          <w:color w:val="000000" w:themeColor="text1"/>
          <w:kern w:val="0"/>
          <w:sz w:val="24"/>
          <w:highlight w:val="none"/>
          <w14:textFill>
            <w14:solidFill>
              <w14:schemeClr w14:val="tx1"/>
            </w14:solidFill>
          </w14:textFill>
        </w:rPr>
        <w:t>中心安全部门巡检系统情况。</w:t>
      </w:r>
    </w:p>
    <w:p>
      <w:pPr>
        <w:numPr>
          <w:ilvl w:val="0"/>
          <w:numId w:val="4"/>
        </w:numPr>
        <w:spacing w:line="360" w:lineRule="auto"/>
        <w:ind w:left="0"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进行容灾备用系统的可用性维护，包括</w:t>
      </w:r>
      <w:r>
        <w:rPr>
          <w:rFonts w:hint="eastAsia" w:ascii="宋体" w:hAnsi="宋体" w:eastAsia="宋体"/>
          <w:color w:val="000000" w:themeColor="text1"/>
          <w:kern w:val="0"/>
          <w:sz w:val="24"/>
          <w:highlight w:val="none"/>
          <w14:textFill>
            <w14:solidFill>
              <w14:schemeClr w14:val="tx1"/>
            </w14:solidFill>
          </w14:textFill>
        </w:rPr>
        <w:t>每周开展</w:t>
      </w:r>
      <w:r>
        <w:rPr>
          <w:rFonts w:ascii="宋体" w:hAnsi="宋体" w:eastAsia="宋体"/>
          <w:color w:val="000000" w:themeColor="text1"/>
          <w:kern w:val="0"/>
          <w:sz w:val="24"/>
          <w:highlight w:val="none"/>
          <w14:textFill>
            <w14:solidFill>
              <w14:schemeClr w14:val="tx1"/>
            </w14:solidFill>
          </w14:textFill>
        </w:rPr>
        <w:t>数据库数据的备份，备用线路的可用，数据库的实时可用。</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（5）数据库系统应急预案服</w:t>
      </w:r>
      <w:r>
        <w:rPr>
          <w:rFonts w:ascii="宋体" w:hAnsi="宋体" w:eastAsia="宋体"/>
          <w:color w:val="000000" w:themeColor="text1"/>
          <w:kern w:val="0"/>
          <w:sz w:val="24"/>
          <w:highlight w:val="none"/>
          <w14:textFill>
            <w14:solidFill>
              <w14:schemeClr w14:val="tx1"/>
            </w14:solidFill>
          </w14:textFill>
        </w:rPr>
        <w:t>务</w:t>
      </w:r>
    </w:p>
    <w:p>
      <w:pPr>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提供数据库系统应急预案服务，编制应急预案方案，服务内容包括但不限于信息系统风险分析、编制1份应急预案、服务期内开展1次应急演练、并持续更新完善应急预案等服务。</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3.</w:t>
      </w:r>
      <w:r>
        <w:rPr>
          <w:rFonts w:ascii="宋体" w:hAnsi="宋体" w:eastAsia="宋体"/>
          <w:color w:val="000000" w:themeColor="text1"/>
          <w:kern w:val="0"/>
          <w:sz w:val="24"/>
          <w:highlight w:val="none"/>
          <w14:textFill>
            <w14:solidFill>
              <w14:schemeClr w14:val="tx1"/>
            </w14:solidFill>
          </w14:textFill>
        </w:rPr>
        <w:t>系统使用技术支持</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提供应用系统（含信用网站、服务系统）和数据库相关技术咨询、信用系统培训、使用指导等。</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4.特殊保障服务</w:t>
      </w:r>
    </w:p>
    <w:p>
      <w:pPr>
        <w:adjustRightInd w:val="0"/>
        <w:snapToGrid w:val="0"/>
        <w:spacing w:line="360" w:lineRule="auto"/>
        <w:ind w:firstLine="480" w:firstLineChars="200"/>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提供重要节假日、重大事件、安全演练、临时现场监控等保障支撑工作，安排1人提供24小时应用系统和数据库系统在线保障服务。</w:t>
      </w:r>
    </w:p>
    <w:p>
      <w:pPr>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应急预案服务</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提供应用系统系统应急预案服务，编制应急预案方案，服务内容包括但不限于信息系统风险分析、编制1份应急预案、服务期内开展1次应急演练、并持续更新完善应急预案等服务。</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6.</w:t>
      </w:r>
      <w:r>
        <w:rPr>
          <w:rFonts w:ascii="宋体" w:hAnsi="宋体" w:eastAsia="宋体"/>
          <w:color w:val="000000" w:themeColor="text1"/>
          <w:kern w:val="0"/>
          <w:sz w:val="24"/>
          <w:highlight w:val="none"/>
          <w14:textFill>
            <w14:solidFill>
              <w14:schemeClr w14:val="tx1"/>
            </w14:solidFill>
          </w14:textFill>
        </w:rPr>
        <w:t>安全保障配套服务</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安排2名二线人员提供</w:t>
      </w:r>
      <w:r>
        <w:rPr>
          <w:rFonts w:ascii="宋体" w:hAnsi="宋体" w:eastAsia="宋体"/>
          <w:color w:val="000000" w:themeColor="text1"/>
          <w:kern w:val="0"/>
          <w:sz w:val="24"/>
          <w:highlight w:val="none"/>
          <w14:textFill>
            <w14:solidFill>
              <w14:schemeClr w14:val="tx1"/>
            </w14:solidFill>
          </w14:textFill>
        </w:rPr>
        <w:t>等保测评配套安全整改服务，每月安全扫描情况配套整改服务，以及其他安全机关来源通知安全漏洞产生的专项安全漏洞整改需求。</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7.</w:t>
      </w:r>
      <w:r>
        <w:rPr>
          <w:rFonts w:ascii="宋体" w:hAnsi="宋体" w:eastAsia="宋体"/>
          <w:color w:val="000000" w:themeColor="text1"/>
          <w:kern w:val="0"/>
          <w:sz w:val="24"/>
          <w:highlight w:val="none"/>
          <w14:textFill>
            <w14:solidFill>
              <w14:schemeClr w14:val="tx1"/>
            </w14:solidFill>
          </w14:textFill>
        </w:rPr>
        <w:t>二线技术支持</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提供2名二线技术支持人员，每季度对一线技术人员开展维护处理、系统优化、数据库优化、故障处理、漏洞整改等远程技术支持与支撑、方案参考服务</w:t>
      </w:r>
      <w:r>
        <w:rPr>
          <w:rFonts w:ascii="宋体" w:hAnsi="宋体" w:eastAsia="宋体"/>
          <w:color w:val="000000" w:themeColor="text1"/>
          <w:kern w:val="0"/>
          <w:sz w:val="24"/>
          <w:highlight w:val="none"/>
          <w14:textFill>
            <w14:solidFill>
              <w14:schemeClr w14:val="tx1"/>
            </w14:solidFill>
          </w14:textFill>
        </w:rPr>
        <w:t>。</w:t>
      </w:r>
    </w:p>
    <w:p>
      <w:pPr>
        <w:spacing w:line="360" w:lineRule="auto"/>
        <w:ind w:left="420" w:leftChars="200"/>
        <w:rPr>
          <w:rFonts w:ascii="宋体" w:hAnsi="宋体" w:eastAsia="宋体"/>
          <w:b/>
          <w:bCs/>
          <w:color w:val="000000" w:themeColor="text1"/>
          <w:kern w:val="0"/>
          <w:sz w:val="24"/>
          <w:highlight w:val="none"/>
          <w14:textFill>
            <w14:solidFill>
              <w14:schemeClr w14:val="tx1"/>
            </w14:solidFill>
          </w14:textFill>
        </w:rPr>
      </w:pPr>
      <w:r>
        <w:rPr>
          <w:rFonts w:hint="eastAsia" w:ascii="宋体" w:hAnsi="宋体" w:eastAsia="宋体"/>
          <w:b/>
          <w:bCs/>
          <w:color w:val="000000" w:themeColor="text1"/>
          <w:kern w:val="0"/>
          <w:sz w:val="24"/>
          <w:highlight w:val="none"/>
          <w14:textFill>
            <w14:solidFill>
              <w14:schemeClr w14:val="tx1"/>
            </w14:solidFill>
          </w14:textFill>
        </w:rPr>
        <w:t>（二）</w:t>
      </w:r>
      <w:r>
        <w:rPr>
          <w:rFonts w:ascii="宋体" w:hAnsi="宋体" w:eastAsia="宋体"/>
          <w:b/>
          <w:bCs/>
          <w:color w:val="000000" w:themeColor="text1"/>
          <w:sz w:val="24"/>
          <w:highlight w:val="none"/>
          <w14:textFill>
            <w14:solidFill>
              <w14:schemeClr w14:val="tx1"/>
            </w14:solidFill>
          </w14:textFill>
        </w:rPr>
        <w:t>广州市公共信用信息管理系统</w:t>
      </w:r>
      <w:r>
        <w:rPr>
          <w:rFonts w:ascii="宋体" w:hAnsi="宋体" w:eastAsia="宋体"/>
          <w:b/>
          <w:bCs/>
          <w:color w:val="000000" w:themeColor="text1"/>
          <w:kern w:val="0"/>
          <w:sz w:val="24"/>
          <w:highlight w:val="none"/>
          <w14:textFill>
            <w14:solidFill>
              <w14:schemeClr w14:val="tx1"/>
            </w14:solidFill>
          </w14:textFill>
        </w:rPr>
        <w:t>系统</w:t>
      </w:r>
      <w:r>
        <w:rPr>
          <w:rFonts w:hint="eastAsia" w:ascii="宋体" w:hAnsi="宋体" w:eastAsia="宋体"/>
          <w:b/>
          <w:bCs/>
          <w:color w:val="000000" w:themeColor="text1"/>
          <w:kern w:val="0"/>
          <w:sz w:val="24"/>
          <w:highlight w:val="none"/>
          <w14:textFill>
            <w14:solidFill>
              <w14:schemeClr w14:val="tx1"/>
            </w14:solidFill>
          </w14:textFill>
        </w:rPr>
        <w:t>功能优化服务</w:t>
      </w:r>
    </w:p>
    <w:p>
      <w:pPr>
        <w:tabs>
          <w:tab w:val="left" w:pos="0"/>
        </w:tabs>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1.应用系统优化：</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ascii="宋体" w:hAnsi="宋体" w:eastAsia="宋体"/>
          <w:color w:val="000000" w:themeColor="text1"/>
          <w:kern w:val="0"/>
          <w:sz w:val="24"/>
          <w:highlight w:val="none"/>
          <w14:textFill>
            <w14:solidFill>
              <w14:schemeClr w14:val="tx1"/>
            </w14:solidFill>
          </w14:textFill>
        </w:rPr>
        <w:t>信用报告改版</w:t>
      </w:r>
      <w:r>
        <w:rPr>
          <w:rFonts w:hint="eastAsia" w:ascii="宋体" w:hAnsi="宋体" w:eastAsia="宋体"/>
          <w:color w:val="000000" w:themeColor="text1"/>
          <w:kern w:val="0"/>
          <w:sz w:val="24"/>
          <w:highlight w:val="none"/>
          <w14:textFill>
            <w14:solidFill>
              <w14:schemeClr w14:val="tx1"/>
            </w14:solidFill>
          </w14:textFill>
        </w:rPr>
        <w:t>：</w:t>
      </w:r>
      <w:r>
        <w:rPr>
          <w:rFonts w:ascii="宋体" w:hAnsi="宋体" w:eastAsia="宋体"/>
          <w:color w:val="000000" w:themeColor="text1"/>
          <w:kern w:val="0"/>
          <w:sz w:val="24"/>
          <w:highlight w:val="none"/>
          <w14:textFill>
            <w14:solidFill>
              <w14:schemeClr w14:val="tx1"/>
            </w14:solidFill>
          </w14:textFill>
        </w:rPr>
        <w:t>根据国家新版公共信用信息报告标准及我市公共信用信息归集与应用要求，</w:t>
      </w:r>
      <w:r>
        <w:rPr>
          <w:rFonts w:hint="eastAsia" w:ascii="宋体" w:hAnsi="宋体" w:eastAsia="宋体"/>
          <w:color w:val="000000" w:themeColor="text1"/>
          <w:kern w:val="0"/>
          <w:sz w:val="24"/>
          <w:highlight w:val="none"/>
          <w14:textFill>
            <w14:solidFill>
              <w14:schemeClr w14:val="tx1"/>
            </w14:solidFill>
          </w14:textFill>
        </w:rPr>
        <w:t>优化</w:t>
      </w:r>
      <w:r>
        <w:rPr>
          <w:rFonts w:ascii="宋体" w:hAnsi="宋体" w:eastAsia="宋体"/>
          <w:color w:val="000000" w:themeColor="text1"/>
          <w:kern w:val="0"/>
          <w:sz w:val="24"/>
          <w:highlight w:val="none"/>
          <w14:textFill>
            <w14:solidFill>
              <w14:schemeClr w14:val="tx1"/>
            </w14:solidFill>
          </w14:textFill>
        </w:rPr>
        <w:t>调整“信用广州”网站</w:t>
      </w:r>
      <w:r>
        <w:rPr>
          <w:rFonts w:hint="eastAsia" w:ascii="宋体" w:hAnsi="宋体" w:eastAsia="宋体"/>
          <w:color w:val="000000" w:themeColor="text1"/>
          <w:kern w:val="0"/>
          <w:sz w:val="24"/>
          <w:highlight w:val="none"/>
          <w14:textFill>
            <w14:solidFill>
              <w14:schemeClr w14:val="tx1"/>
            </w14:solidFill>
          </w14:textFill>
        </w:rPr>
        <w:t>页面，包括完善公共信用信息公示、信用信息</w:t>
      </w:r>
      <w:r>
        <w:rPr>
          <w:rFonts w:ascii="宋体" w:hAnsi="宋体" w:eastAsia="宋体"/>
          <w:color w:val="000000" w:themeColor="text1"/>
          <w:kern w:val="0"/>
          <w:sz w:val="24"/>
          <w:highlight w:val="none"/>
          <w14:textFill>
            <w14:solidFill>
              <w14:schemeClr w14:val="tx1"/>
            </w14:solidFill>
          </w14:textFill>
        </w:rPr>
        <w:t>查询</w:t>
      </w:r>
      <w:r>
        <w:rPr>
          <w:rFonts w:hint="eastAsia" w:ascii="宋体" w:hAnsi="宋体" w:eastAsia="宋体"/>
          <w:color w:val="000000" w:themeColor="text1"/>
          <w:kern w:val="0"/>
          <w:sz w:val="24"/>
          <w:highlight w:val="none"/>
          <w14:textFill>
            <w14:solidFill>
              <w14:schemeClr w14:val="tx1"/>
            </w14:solidFill>
          </w14:textFill>
        </w:rPr>
        <w:t>等2个页面</w:t>
      </w:r>
      <w:r>
        <w:rPr>
          <w:rFonts w:ascii="宋体" w:hAnsi="宋体" w:eastAsia="宋体"/>
          <w:color w:val="000000" w:themeColor="text1"/>
          <w:kern w:val="0"/>
          <w:sz w:val="24"/>
          <w:highlight w:val="none"/>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对</w:t>
      </w:r>
      <w:r>
        <w:rPr>
          <w:rFonts w:ascii="宋体" w:hAnsi="宋体" w:eastAsia="宋体"/>
          <w:color w:val="000000" w:themeColor="text1"/>
          <w:kern w:val="0"/>
          <w:sz w:val="24"/>
          <w:highlight w:val="none"/>
          <w14:textFill>
            <w14:solidFill>
              <w14:schemeClr w14:val="tx1"/>
            </w14:solidFill>
          </w14:textFill>
        </w:rPr>
        <w:t>信用报告</w:t>
      </w:r>
      <w:r>
        <w:rPr>
          <w:rFonts w:hint="eastAsia" w:ascii="宋体" w:hAnsi="宋体" w:eastAsia="宋体"/>
          <w:color w:val="000000" w:themeColor="text1"/>
          <w:kern w:val="0"/>
          <w:sz w:val="24"/>
          <w:highlight w:val="none"/>
          <w14:textFill>
            <w14:solidFill>
              <w14:schemeClr w14:val="tx1"/>
            </w14:solidFill>
          </w14:textFill>
        </w:rPr>
        <w:t>下载版式等1个版本</w:t>
      </w:r>
      <w:r>
        <w:rPr>
          <w:rFonts w:ascii="宋体" w:hAnsi="宋体" w:eastAsia="宋体"/>
          <w:color w:val="000000" w:themeColor="text1"/>
          <w:kern w:val="0"/>
          <w:sz w:val="24"/>
          <w:highlight w:val="none"/>
          <w14:textFill>
            <w14:solidFill>
              <w14:schemeClr w14:val="tx1"/>
            </w14:solidFill>
          </w14:textFill>
        </w:rPr>
        <w:t>样式</w:t>
      </w:r>
      <w:r>
        <w:rPr>
          <w:rFonts w:hint="eastAsia" w:ascii="宋体" w:hAnsi="宋体" w:eastAsia="宋体"/>
          <w:color w:val="000000" w:themeColor="text1"/>
          <w:kern w:val="0"/>
          <w:sz w:val="24"/>
          <w:highlight w:val="none"/>
          <w14:textFill>
            <w14:solidFill>
              <w14:schemeClr w14:val="tx1"/>
            </w14:solidFill>
          </w14:textFill>
        </w:rPr>
        <w:t>进行优化完善</w:t>
      </w:r>
      <w:r>
        <w:rPr>
          <w:rFonts w:ascii="宋体" w:hAnsi="宋体" w:eastAsia="宋体"/>
          <w:color w:val="000000" w:themeColor="text1"/>
          <w:kern w:val="0"/>
          <w:sz w:val="24"/>
          <w:highlight w:val="none"/>
          <w14:textFill>
            <w14:solidFill>
              <w14:schemeClr w14:val="tx1"/>
            </w14:solidFill>
          </w14:textFill>
        </w:rPr>
        <w:t>，使符合国家公共信用信息报告标准和市信用信息主管部门相关要求。</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w:t>
      </w:r>
      <w:r>
        <w:rPr>
          <w:rFonts w:ascii="宋体" w:hAnsi="宋体" w:eastAsia="宋体"/>
          <w:color w:val="000000" w:themeColor="text1"/>
          <w:kern w:val="0"/>
          <w:sz w:val="24"/>
          <w:highlight w:val="none"/>
          <w14:textFill>
            <w14:solidFill>
              <w14:schemeClr w14:val="tx1"/>
            </w14:solidFill>
          </w14:textFill>
        </w:rPr>
        <w:t>信用查询功能完善</w:t>
      </w:r>
      <w:r>
        <w:rPr>
          <w:rFonts w:hint="eastAsia" w:ascii="宋体" w:hAnsi="宋体" w:eastAsia="宋体"/>
          <w:color w:val="000000" w:themeColor="text1"/>
          <w:kern w:val="0"/>
          <w:sz w:val="24"/>
          <w:highlight w:val="none"/>
          <w14:textFill>
            <w14:solidFill>
              <w14:schemeClr w14:val="tx1"/>
            </w14:solidFill>
          </w14:textFill>
        </w:rPr>
        <w:t>：</w:t>
      </w:r>
      <w:r>
        <w:rPr>
          <w:rFonts w:ascii="宋体" w:hAnsi="宋体" w:eastAsia="宋体"/>
          <w:color w:val="000000" w:themeColor="text1"/>
          <w:kern w:val="0"/>
          <w:sz w:val="24"/>
          <w:highlight w:val="none"/>
          <w14:textFill>
            <w14:solidFill>
              <w14:schemeClr w14:val="tx1"/>
            </w14:solidFill>
          </w14:textFill>
        </w:rPr>
        <w:t>优化查询功能验证功能，提升用户体验和网站的安全性，确保网站正常查询和访问。</w:t>
      </w:r>
    </w:p>
    <w:p>
      <w:pPr>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2.数据库系统优化</w:t>
      </w:r>
    </w:p>
    <w:p>
      <w:pPr>
        <w:spacing w:line="360" w:lineRule="auto"/>
        <w:ind w:firstLine="480" w:firstLineChars="200"/>
        <w:rPr>
          <w:rFonts w:hint="eastAsia"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信用运营综合统计功能完善</w:t>
      </w:r>
      <w:r>
        <w:rPr>
          <w:rFonts w:hint="eastAsia" w:ascii="宋体" w:hAnsi="宋体" w:eastAsia="宋体"/>
          <w:color w:val="000000" w:themeColor="text1"/>
          <w:kern w:val="0"/>
          <w:sz w:val="24"/>
          <w:highlight w:val="none"/>
          <w14:textFill>
            <w14:solidFill>
              <w14:schemeClr w14:val="tx1"/>
            </w14:solidFill>
          </w14:textFill>
        </w:rPr>
        <w:t>：根据国家信用监测指标的数据考核内容，对信用运营综合统计模块和展示模块等2项内容进行优化升级，内容包括但不限于：数据归集量、信用评价结果、数据运用情况、部门应用领域情况等4项内容进行完善，运用不少于图表、行政区统计等2种方式进行统计分析。</w:t>
      </w:r>
    </w:p>
    <w:p>
      <w:pPr>
        <w:pStyle w:val="2"/>
        <w:rPr>
          <w:rFonts w:ascii="宋体" w:hAnsi="宋体"/>
          <w:b/>
          <w:bCs/>
          <w:color w:val="000000" w:themeColor="text1"/>
          <w:kern w:val="0"/>
          <w:sz w:val="24"/>
          <w:highlight w:val="none"/>
          <w14:textFill>
            <w14:solidFill>
              <w14:schemeClr w14:val="tx1"/>
            </w14:solidFill>
          </w14:textFill>
        </w:rPr>
      </w:pPr>
    </w:p>
    <w:p>
      <w:pPr>
        <w:pStyle w:val="2"/>
        <w:spacing w:line="360" w:lineRule="auto"/>
        <w:ind w:left="0" w:firstLine="482" w:firstLineChars="20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kern w:val="0"/>
          <w:sz w:val="24"/>
          <w:highlight w:val="none"/>
          <w14:textFill>
            <w14:solidFill>
              <w14:schemeClr w14:val="tx1"/>
            </w14:solidFill>
          </w14:textFill>
        </w:rPr>
        <w:t>（三）</w:t>
      </w:r>
      <w:r>
        <w:rPr>
          <w:rFonts w:ascii="宋体" w:hAnsi="宋体"/>
          <w:b/>
          <w:bCs/>
          <w:color w:val="000000" w:themeColor="text1"/>
          <w:sz w:val="24"/>
          <w:highlight w:val="none"/>
          <w14:textFill>
            <w14:solidFill>
              <w14:schemeClr w14:val="tx1"/>
            </w14:solidFill>
          </w14:textFill>
        </w:rPr>
        <w:t>广州市信用监管应用支撑平台</w:t>
      </w:r>
      <w:r>
        <w:rPr>
          <w:rFonts w:ascii="宋体" w:hAnsi="宋体"/>
          <w:b/>
          <w:bCs/>
          <w:color w:val="000000" w:themeColor="text1"/>
          <w:kern w:val="0"/>
          <w:sz w:val="24"/>
          <w:highlight w:val="none"/>
          <w14:textFill>
            <w14:solidFill>
              <w14:schemeClr w14:val="tx1"/>
            </w14:solidFill>
          </w14:textFill>
        </w:rPr>
        <w:t>日常维护服务</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1.日常维护</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（1）日常监控：每个工作日开展1次对主机、操作系统、中间件、数据库、网络、应用软件等资源使用情况及运行状况进行监控，如发现问题须在30分钟内向采购人进行汇报，3小时内完成处理。</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系统巡检：每个工作日1次进行系统及相关接口全面巡检，并形成《网站或系统日常巡检报告》，确保各页面功能正常加载，无数据异常现象，同时检查查询响应速度，确保接口正常稳定运行。整理巡检结果，记录系统的问题和解决方案。记录系统存在的问题、解决过程及结果，形成巡检报告。</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（3）技术咨询与解答：通过电话、邮件、远程登录等方式，每月提供3次专家远程技术支持服务，解决采购人或部门用户在使用过程中遇到的问题。</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（4）故障诊断与排除：出现故障时，运维人员需要在1小时内定位问题，并在3小时内提供有效的解决方案，一周提供故障分析报告。</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（5）业务审核与权限管理：每周开展1次账号日常维护及权限管理，对省统一认证接入用户的角色申请做审核处理以及日常维护和权限维护。</w:t>
      </w:r>
    </w:p>
    <w:p>
      <w:pPr>
        <w:adjustRightInd w:val="0"/>
        <w:snapToGrid w:val="0"/>
        <w:spacing w:line="360" w:lineRule="auto"/>
        <w:ind w:firstLine="480" w:firstLineChars="200"/>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（6）信用核查审核：针对用户提交的信用核查结果进行二次数据审核。</w:t>
      </w:r>
    </w:p>
    <w:p>
      <w:pPr>
        <w:adjustRightInd w:val="0"/>
        <w:snapToGrid w:val="0"/>
        <w:spacing w:line="360" w:lineRule="auto"/>
        <w:ind w:firstLine="480" w:firstLineChars="200"/>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（7）系统配置运维：保障广州市信用监管应用支撑平台的系统配置稳定有效，每月1次对平台运维监控规则配置、评价指标配置等进行调整维护。</w:t>
      </w:r>
    </w:p>
    <w:p>
      <w:pPr>
        <w:pStyle w:val="2"/>
        <w:spacing w:line="360" w:lineRule="auto"/>
        <w:ind w:left="0" w:firstLine="480" w:firstLineChars="200"/>
        <w:rPr>
          <w:rFonts w:hint="eastAsia" w:ascii="宋体" w:hAnsi="宋体"/>
          <w:smallCaps w:val="0"/>
          <w:color w:val="000000" w:themeColor="text1"/>
          <w:kern w:val="0"/>
          <w:sz w:val="24"/>
          <w:highlight w:val="none"/>
          <w14:textFill>
            <w14:solidFill>
              <w14:schemeClr w14:val="tx1"/>
            </w14:solidFill>
          </w14:textFill>
        </w:rPr>
      </w:pPr>
      <w:r>
        <w:rPr>
          <w:rFonts w:hint="eastAsia" w:ascii="宋体" w:hAnsi="宋体"/>
          <w:smallCaps w:val="0"/>
          <w:color w:val="000000" w:themeColor="text1"/>
          <w:kern w:val="0"/>
          <w:sz w:val="24"/>
          <w:highlight w:val="none"/>
          <w14:textFill>
            <w14:solidFill>
              <w14:schemeClr w14:val="tx1"/>
            </w14:solidFill>
          </w14:textFill>
        </w:rPr>
        <w:t>（8）接口运维：保障全国信用奖惩接口、广州市信用奖惩接口、广州市信用评价接口等相关接口，主要包括接口的监控与告警、性能优化、故障排查与恢复等，每月1次；按照实际需求，与部门开展信用奖惩和信用评价的接口联调并提供维护服务。</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2.数据更新与处理</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与广州市公共信用信息管理系统开展数据对接，每月采集本平台建设所需的数据资源。对采集的数据资源开展数据清洗、比对、整合等数据加工处理，形成本平台信用档案。</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3. 数据库和系统应用备份</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数据库和系统应用备份：每周开展系统数据增量数据备份，每季度开展数据库和系统全量备份工作。</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4.操作培训：对系统管理员、系统维护人员、操作人员等相关系统人员，服务期内，开展1次平台操作培训。</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5.技术实施</w:t>
      </w:r>
    </w:p>
    <w:p>
      <w:pPr>
        <w:adjustRightInd w:val="0"/>
        <w:snapToGrid w:val="0"/>
        <w:spacing w:line="360" w:lineRule="auto"/>
        <w:ind w:firstLine="480" w:firstLineChars="200"/>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按照使用部门需求，通过市公共信用信息管理系统和市政务信息共享平台，以数据库表方式共享信用评价数据和相关成效数据给其他部门使用，并每周更新共享的数据。</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6.应急预案</w:t>
      </w:r>
    </w:p>
    <w:p>
      <w:pPr>
        <w:spacing w:line="360" w:lineRule="auto"/>
        <w:ind w:firstLine="480" w:firstLineChars="200"/>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提供广州市信用监管应用支撑平台的应急预案服务，编制应急预案方案，服务内容包括但不限于信息系统风险分析、编制1份应急</w:t>
      </w:r>
      <w:r>
        <w:rPr>
          <w:rFonts w:hint="eastAsia" w:ascii="宋体" w:hAnsi="宋体" w:eastAsia="宋体" w:cs="宋体"/>
          <w:color w:val="000000" w:themeColor="text1"/>
          <w:kern w:val="0"/>
          <w:sz w:val="24"/>
          <w:szCs w:val="24"/>
          <w:highlight w:val="none"/>
          <w:lang w:bidi="ar"/>
          <w14:textFill>
            <w14:solidFill>
              <w14:schemeClr w14:val="tx1"/>
            </w14:solidFill>
          </w14:textFill>
        </w:rPr>
        <w:t>维护</w:t>
      </w:r>
      <w:r>
        <w:rPr>
          <w:rFonts w:hint="eastAsia" w:ascii="宋体" w:hAnsi="宋体" w:eastAsia="宋体" w:cs="宋体"/>
          <w:color w:val="000000" w:themeColor="text1"/>
          <w:kern w:val="0"/>
          <w:sz w:val="24"/>
          <w:highlight w:val="none"/>
          <w14:textFill>
            <w14:solidFill>
              <w14:schemeClr w14:val="tx1"/>
            </w14:solidFill>
          </w14:textFill>
        </w:rPr>
        <w:t>预案、服务期内开展1次应急演练、并持续更新完善应急预案等服务。</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7.特殊保障：</w:t>
      </w:r>
    </w:p>
    <w:p>
      <w:pPr>
        <w:adjustRightInd w:val="0"/>
        <w:snapToGrid w:val="0"/>
        <w:spacing w:line="360" w:lineRule="auto"/>
        <w:ind w:firstLine="480" w:firstLineChars="200"/>
        <w:rPr>
          <w:color w:val="000000" w:themeColor="text1"/>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提供重要节假日、重大事件、安全演练、临时现场监控等保障支撑工作，安排1人提供24小时广州市信用监管应用支撑平台在线保障服务。</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8.安全整改服务</w:t>
      </w:r>
    </w:p>
    <w:p>
      <w:pPr>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（1）等保测评配套安全整改服务，每年度协助开展安全扫描工作，对扫描结果产生的安全漏洞进行整改。</w:t>
      </w:r>
    </w:p>
    <w:p>
      <w:pPr>
        <w:adjustRightInd w:val="0"/>
        <w:snapToGrid w:val="0"/>
        <w:spacing w:line="360" w:lineRule="auto"/>
        <w:ind w:firstLine="480" w:firstLineChars="200"/>
        <w:rPr>
          <w:rFonts w:ascii="宋体" w:hAnsi="宋体" w:eastAsia="宋体"/>
          <w:smallCap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（2）每月安全扫描情况配套整改服务，以及其他安全机关来源通知安全漏洞产生的专项安全漏洞整改需求。</w:t>
      </w:r>
    </w:p>
    <w:p>
      <w:pPr>
        <w:pStyle w:val="2"/>
        <w:numPr>
          <w:ilvl w:val="0"/>
          <w:numId w:val="5"/>
        </w:numPr>
        <w:spacing w:line="360" w:lineRule="auto"/>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广州市信用监管应用支撑平台</w:t>
      </w:r>
      <w:r>
        <w:rPr>
          <w:rFonts w:hint="eastAsia" w:ascii="宋体" w:hAnsi="宋体"/>
          <w:b/>
          <w:bCs/>
          <w:color w:val="000000" w:themeColor="text1"/>
          <w:sz w:val="24"/>
          <w:highlight w:val="none"/>
          <w14:textFill>
            <w14:solidFill>
              <w14:schemeClr w14:val="tx1"/>
            </w14:solidFill>
          </w14:textFill>
        </w:rPr>
        <w:t>功能</w:t>
      </w:r>
      <w:r>
        <w:rPr>
          <w:rFonts w:ascii="宋体" w:hAnsi="宋体"/>
          <w:b/>
          <w:bCs/>
          <w:color w:val="000000" w:themeColor="text1"/>
          <w:kern w:val="0"/>
          <w:sz w:val="24"/>
          <w:highlight w:val="none"/>
          <w14:textFill>
            <w14:solidFill>
              <w14:schemeClr w14:val="tx1"/>
            </w14:solidFill>
          </w14:textFill>
        </w:rPr>
        <w:t>优化服务</w:t>
      </w:r>
    </w:p>
    <w:p>
      <w:pPr>
        <w:tabs>
          <w:tab w:val="left" w:pos="312"/>
        </w:tabs>
        <w:adjustRightInd w:val="0"/>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补丁及接口升级</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在服务期内，每年对系统的安全评估工作给予配合，每季度组织协助对安全评估报告进行整改，包括数据库安全补丁、系统安全补丁、产品操作系统、第三方采购软件、应用软件的升级服务及可靠性评估等工作。</w:t>
      </w:r>
    </w:p>
    <w:p>
      <w:pPr>
        <w:spacing w:line="360" w:lineRule="auto"/>
        <w:ind w:firstLine="482" w:firstLineChars="20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七、IT运维服务方式</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（一）</w:t>
      </w:r>
      <w:r>
        <w:rPr>
          <w:rFonts w:ascii="宋体" w:hAnsi="宋体" w:eastAsia="宋体"/>
          <w:color w:val="000000" w:themeColor="text1"/>
          <w:sz w:val="24"/>
          <w:highlight w:val="none"/>
          <w14:textFill>
            <w14:solidFill>
              <w14:schemeClr w14:val="tx1"/>
            </w14:solidFill>
          </w14:textFill>
        </w:rPr>
        <w:t>响应、处理方式要求：</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提供固定的7×24小时故障受理电话服务</w:t>
      </w:r>
      <w:r>
        <w:rPr>
          <w:rFonts w:hint="eastAsia" w:ascii="宋体" w:hAnsi="宋体" w:eastAsia="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r>
        <w:rPr>
          <w:rFonts w:ascii="宋体" w:hAnsi="宋体" w:eastAsia="宋体"/>
          <w:color w:val="000000" w:themeColor="text1"/>
          <w:sz w:val="24"/>
          <w:highlight w:val="none"/>
          <w14:textFill>
            <w14:solidFill>
              <w14:schemeClr w14:val="tx1"/>
            </w14:solidFill>
          </w14:textFill>
        </w:rPr>
        <w:t>工作日提供5×8小时的现场</w:t>
      </w:r>
      <w:r>
        <w:rPr>
          <w:rFonts w:hint="eastAsia" w:ascii="宋体" w:hAnsi="宋体" w:eastAsia="宋体"/>
          <w:color w:val="000000" w:themeColor="text1"/>
          <w:sz w:val="24"/>
          <w:highlight w:val="none"/>
          <w14:textFill>
            <w14:solidFill>
              <w14:schemeClr w14:val="tx1"/>
            </w14:solidFill>
          </w14:textFill>
        </w:rPr>
        <w:t>或远程</w:t>
      </w:r>
      <w:r>
        <w:rPr>
          <w:rFonts w:ascii="宋体" w:hAnsi="宋体" w:eastAsia="宋体"/>
          <w:color w:val="000000" w:themeColor="text1"/>
          <w:sz w:val="24"/>
          <w:highlight w:val="none"/>
          <w14:textFill>
            <w14:solidFill>
              <w14:schemeClr w14:val="tx1"/>
            </w14:solidFill>
          </w14:textFill>
        </w:rPr>
        <w:t>服务</w:t>
      </w:r>
      <w:r>
        <w:rPr>
          <w:rFonts w:hint="eastAsia" w:ascii="宋体" w:hAnsi="宋体" w:eastAsia="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（二）</w:t>
      </w:r>
      <w:r>
        <w:rPr>
          <w:rFonts w:ascii="宋体" w:hAnsi="宋体" w:eastAsia="宋体"/>
          <w:color w:val="000000" w:themeColor="text1"/>
          <w:sz w:val="24"/>
          <w:highlight w:val="none"/>
          <w14:textFill>
            <w14:solidFill>
              <w14:schemeClr w14:val="tx1"/>
            </w14:solidFill>
          </w14:textFill>
        </w:rPr>
        <w:t>响应方式</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所有实施任务均为现场</w:t>
      </w:r>
      <w:r>
        <w:rPr>
          <w:rFonts w:hint="eastAsia" w:ascii="宋体" w:hAnsi="宋体" w:eastAsia="宋体"/>
          <w:color w:val="000000" w:themeColor="text1"/>
          <w:sz w:val="24"/>
          <w:highlight w:val="none"/>
          <w14:textFill>
            <w14:solidFill>
              <w14:schemeClr w14:val="tx1"/>
            </w14:solidFill>
          </w14:textFill>
        </w:rPr>
        <w:t>或远程</w:t>
      </w:r>
      <w:r>
        <w:rPr>
          <w:rFonts w:ascii="宋体" w:hAnsi="宋体" w:eastAsia="宋体"/>
          <w:color w:val="000000" w:themeColor="text1"/>
          <w:sz w:val="24"/>
          <w:highlight w:val="none"/>
          <w14:textFill>
            <w14:solidFill>
              <w14:schemeClr w14:val="tx1"/>
            </w14:solidFill>
          </w14:textFill>
        </w:rPr>
        <w:t>服务。</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r>
        <w:rPr>
          <w:rFonts w:ascii="宋体" w:hAnsi="宋体" w:eastAsia="宋体"/>
          <w:color w:val="000000" w:themeColor="text1"/>
          <w:sz w:val="24"/>
          <w:highlight w:val="none"/>
          <w14:textFill>
            <w14:solidFill>
              <w14:schemeClr w14:val="tx1"/>
            </w14:solidFill>
          </w14:textFill>
        </w:rPr>
        <w:t>应能在10分钟内准确诊断并告知用户故障原因，诊断差错率要控制在5%以内。并向最终用户解释故障发生原因</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可能导致的后果以及拟采取的措施。</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故障修复过程中可能影响用户工作或对系统应用数据有影响的，要先咨询用户意见再处理。</w:t>
      </w:r>
    </w:p>
    <w:p>
      <w:pPr>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w:t>
      </w:r>
      <w:r>
        <w:rPr>
          <w:rFonts w:ascii="宋体" w:hAnsi="宋体" w:eastAsia="宋体"/>
          <w:color w:val="000000" w:themeColor="text1"/>
          <w:sz w:val="24"/>
          <w:highlight w:val="none"/>
          <w14:textFill>
            <w14:solidFill>
              <w14:schemeClr w14:val="tx1"/>
            </w14:solidFill>
          </w14:textFill>
        </w:rPr>
        <w:t>每天提交一份系统运行监控报告，每周汇总形成一份周报，每月汇总形成一份月报。</w:t>
      </w:r>
    </w:p>
    <w:p>
      <w:pPr>
        <w:pStyle w:val="2"/>
        <w:spacing w:line="360" w:lineRule="auto"/>
        <w:ind w:left="0" w:firstLine="480" w:firstLineChars="200"/>
        <w:rPr>
          <w:rFonts w:ascii="宋体" w:hAnsi="宋体"/>
          <w:color w:val="000000" w:themeColor="text1"/>
          <w:sz w:val="24"/>
          <w:szCs w:val="22"/>
          <w:highlight w:val="none"/>
          <w14:textFill>
            <w14:solidFill>
              <w14:schemeClr w14:val="tx1"/>
            </w14:solidFill>
          </w14:textFill>
        </w:rPr>
      </w:pPr>
      <w:r>
        <w:rPr>
          <w:rFonts w:hint="eastAsia" w:ascii="宋体" w:hAnsi="宋体"/>
          <w:smallCaps w:val="0"/>
          <w:color w:val="000000" w:themeColor="text1"/>
          <w:sz w:val="24"/>
          <w:highlight w:val="none"/>
          <w14:textFill>
            <w14:solidFill>
              <w14:schemeClr w14:val="tx1"/>
            </w14:solidFill>
          </w14:textFill>
        </w:rPr>
        <w:t>5.二线运维工程师需指定固定人员，并提供人员名单及资质证明，需通过指定系统或平台每日打卡，并提交考勤日志给采购人备案，并按要求每月参加采购人组织的运维服务例会。</w:t>
      </w:r>
    </w:p>
    <w:p>
      <w:pPr>
        <w:pStyle w:val="2"/>
        <w:spacing w:line="360" w:lineRule="auto"/>
        <w:ind w:left="0" w:firstLine="480" w:firstLineChars="200"/>
        <w:rPr>
          <w:rFonts w:ascii="宋体" w:hAnsi="宋体"/>
          <w:color w:val="000000" w:themeColor="text1"/>
          <w:sz w:val="24"/>
          <w:szCs w:val="22"/>
          <w:highlight w:val="none"/>
          <w14:textFill>
            <w14:solidFill>
              <w14:schemeClr w14:val="tx1"/>
            </w14:solidFill>
          </w14:textFill>
        </w:rPr>
      </w:pPr>
    </w:p>
    <w:p>
      <w:pPr>
        <w:numPr>
          <w:ilvl w:val="0"/>
          <w:numId w:val="6"/>
        </w:num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IT运维服务人员的要求</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94"/>
        <w:gridCol w:w="2432"/>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33" w:type="pct"/>
            <w:noWrap w:val="0"/>
            <w:vAlign w:val="center"/>
          </w:tcPr>
          <w:p>
            <w:pPr>
              <w:widowControl/>
              <w:spacing w:line="400" w:lineRule="exact"/>
              <w:jc w:val="center"/>
              <w:rPr>
                <w:rFonts w:ascii="宋体" w:hAnsi="宋体" w:eastAsia="宋体"/>
                <w:bCs/>
                <w:color w:val="000000" w:themeColor="text1"/>
                <w:kern w:val="0"/>
                <w:sz w:val="24"/>
                <w:highlight w:val="none"/>
                <w14:textFill>
                  <w14:solidFill>
                    <w14:schemeClr w14:val="tx1"/>
                  </w14:solidFill>
                </w14:textFill>
              </w:rPr>
            </w:pPr>
            <w:r>
              <w:rPr>
                <w:rFonts w:ascii="宋体" w:hAnsi="宋体" w:eastAsia="宋体"/>
                <w:bCs/>
                <w:color w:val="000000" w:themeColor="text1"/>
                <w:kern w:val="0"/>
                <w:sz w:val="24"/>
                <w:highlight w:val="none"/>
                <w14:textFill>
                  <w14:solidFill>
                    <w14:schemeClr w14:val="tx1"/>
                  </w14:solidFill>
                </w14:textFill>
              </w:rPr>
              <w:t>角色</w:t>
            </w:r>
          </w:p>
        </w:tc>
        <w:tc>
          <w:tcPr>
            <w:tcW w:w="466" w:type="pct"/>
            <w:noWrap w:val="0"/>
            <w:vAlign w:val="center"/>
          </w:tcPr>
          <w:p>
            <w:pPr>
              <w:widowControl/>
              <w:spacing w:line="400" w:lineRule="exact"/>
              <w:jc w:val="center"/>
              <w:rPr>
                <w:rFonts w:ascii="宋体" w:hAnsi="宋体" w:eastAsia="宋体"/>
                <w:bCs/>
                <w:color w:val="000000" w:themeColor="text1"/>
                <w:kern w:val="0"/>
                <w:sz w:val="24"/>
                <w:highlight w:val="none"/>
                <w14:textFill>
                  <w14:solidFill>
                    <w14:schemeClr w14:val="tx1"/>
                  </w14:solidFill>
                </w14:textFill>
              </w:rPr>
            </w:pPr>
            <w:r>
              <w:rPr>
                <w:rFonts w:ascii="宋体" w:hAnsi="宋体" w:eastAsia="宋体"/>
                <w:bCs/>
                <w:color w:val="000000" w:themeColor="text1"/>
                <w:kern w:val="0"/>
                <w:sz w:val="24"/>
                <w:highlight w:val="none"/>
                <w14:textFill>
                  <w14:solidFill>
                    <w14:schemeClr w14:val="tx1"/>
                  </w14:solidFill>
                </w14:textFill>
              </w:rPr>
              <w:t>人数</w:t>
            </w:r>
          </w:p>
        </w:tc>
        <w:tc>
          <w:tcPr>
            <w:tcW w:w="1427" w:type="pct"/>
            <w:noWrap w:val="0"/>
            <w:vAlign w:val="center"/>
          </w:tcPr>
          <w:p>
            <w:pPr>
              <w:widowControl/>
              <w:spacing w:line="400" w:lineRule="exact"/>
              <w:jc w:val="center"/>
              <w:rPr>
                <w:rFonts w:ascii="宋体" w:hAnsi="宋体" w:eastAsia="宋体"/>
                <w:bCs/>
                <w:color w:val="000000" w:themeColor="text1"/>
                <w:kern w:val="0"/>
                <w:sz w:val="24"/>
                <w:highlight w:val="none"/>
                <w14:textFill>
                  <w14:solidFill>
                    <w14:schemeClr w14:val="tx1"/>
                  </w14:solidFill>
                </w14:textFill>
              </w:rPr>
            </w:pPr>
            <w:r>
              <w:rPr>
                <w:rFonts w:ascii="宋体" w:hAnsi="宋体" w:eastAsia="宋体"/>
                <w:bCs/>
                <w:color w:val="000000" w:themeColor="text1"/>
                <w:kern w:val="0"/>
                <w:sz w:val="24"/>
                <w:highlight w:val="none"/>
                <w14:textFill>
                  <w14:solidFill>
                    <w14:schemeClr w14:val="tx1"/>
                  </w14:solidFill>
                </w14:textFill>
              </w:rPr>
              <w:t>职责</w:t>
            </w:r>
          </w:p>
        </w:tc>
        <w:tc>
          <w:tcPr>
            <w:tcW w:w="2672" w:type="pct"/>
            <w:noWrap w:val="0"/>
            <w:vAlign w:val="center"/>
          </w:tcPr>
          <w:p>
            <w:pPr>
              <w:widowControl/>
              <w:spacing w:line="400" w:lineRule="exact"/>
              <w:jc w:val="center"/>
              <w:rPr>
                <w:rFonts w:ascii="宋体" w:hAnsi="宋体" w:eastAsia="宋体"/>
                <w:bCs/>
                <w:color w:val="000000" w:themeColor="text1"/>
                <w:kern w:val="0"/>
                <w:sz w:val="24"/>
                <w:highlight w:val="none"/>
                <w14:textFill>
                  <w14:solidFill>
                    <w14:schemeClr w14:val="tx1"/>
                  </w14:solidFill>
                </w14:textFill>
              </w:rPr>
            </w:pPr>
            <w:r>
              <w:rPr>
                <w:rFonts w:ascii="宋体" w:hAnsi="宋体" w:eastAsia="宋体"/>
                <w:bCs/>
                <w:color w:val="000000" w:themeColor="text1"/>
                <w:kern w:val="0"/>
                <w:sz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433" w:type="pct"/>
            <w:noWrap w:val="0"/>
            <w:vAlign w:val="top"/>
          </w:tcPr>
          <w:p>
            <w:pPr>
              <w:widowControl/>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项目经理</w:t>
            </w:r>
          </w:p>
        </w:tc>
        <w:tc>
          <w:tcPr>
            <w:tcW w:w="466" w:type="pct"/>
            <w:noWrap w:val="0"/>
            <w:vAlign w:val="top"/>
          </w:tcPr>
          <w:p>
            <w:pPr>
              <w:widowControl/>
              <w:spacing w:line="400" w:lineRule="exact"/>
              <w:jc w:val="center"/>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1人</w:t>
            </w:r>
          </w:p>
        </w:tc>
        <w:tc>
          <w:tcPr>
            <w:tcW w:w="1427" w:type="pct"/>
            <w:noWrap w:val="0"/>
            <w:vAlign w:val="top"/>
          </w:tcPr>
          <w:p>
            <w:pPr>
              <w:widowControl/>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负责</w:t>
            </w:r>
            <w:r>
              <w:rPr>
                <w:rFonts w:hint="eastAsia" w:ascii="宋体" w:hAnsi="宋体" w:eastAsia="宋体"/>
                <w:color w:val="000000" w:themeColor="text1"/>
                <w:kern w:val="0"/>
                <w:sz w:val="24"/>
                <w:highlight w:val="none"/>
                <w14:textFill>
                  <w14:solidFill>
                    <w14:schemeClr w14:val="tx1"/>
                  </w14:solidFill>
                </w14:textFill>
              </w:rPr>
              <w:t>项目</w:t>
            </w:r>
            <w:r>
              <w:rPr>
                <w:rFonts w:ascii="宋体" w:hAnsi="宋体" w:eastAsia="宋体"/>
                <w:color w:val="000000" w:themeColor="text1"/>
                <w:kern w:val="0"/>
                <w:sz w:val="24"/>
                <w:highlight w:val="none"/>
                <w14:textFill>
                  <w14:solidFill>
                    <w14:schemeClr w14:val="tx1"/>
                  </w14:solidFill>
                </w14:textFill>
              </w:rPr>
              <w:t>统筹工作，制定项目实施计划，并按计划组织和推进实施工作，定期提交项目实施进度报告；负责项目进度控制、质量控制和成本控制；负责与客户/用户的沟通，负责项目实施情况汇报</w:t>
            </w:r>
            <w:r>
              <w:rPr>
                <w:rFonts w:hint="eastAsia" w:ascii="宋体" w:hAnsi="宋体" w:eastAsia="宋体"/>
                <w:color w:val="000000" w:themeColor="text1"/>
                <w:kern w:val="0"/>
                <w:sz w:val="24"/>
                <w:highlight w:val="none"/>
                <w14:textFill>
                  <w14:solidFill>
                    <w14:schemeClr w14:val="tx1"/>
                  </w14:solidFill>
                </w14:textFill>
              </w:rPr>
              <w:t>。</w:t>
            </w:r>
          </w:p>
        </w:tc>
        <w:tc>
          <w:tcPr>
            <w:tcW w:w="2672" w:type="pct"/>
            <w:noWrap w:val="0"/>
            <w:vAlign w:val="top"/>
          </w:tcPr>
          <w:p>
            <w:pPr>
              <w:numPr>
                <w:ilvl w:val="0"/>
                <w:numId w:val="7"/>
              </w:numPr>
              <w:spacing w:line="400" w:lineRule="exact"/>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计算机或相关专业</w:t>
            </w:r>
            <w:r>
              <w:rPr>
                <w:rFonts w:hint="eastAsia" w:ascii="宋体" w:hAnsi="宋体" w:eastAsia="宋体"/>
                <w:color w:val="000000" w:themeColor="text1"/>
                <w:sz w:val="24"/>
                <w:highlight w:val="none"/>
                <w14:textFill>
                  <w14:solidFill>
                    <w14:schemeClr w14:val="tx1"/>
                  </w14:solidFill>
                </w14:textFill>
              </w:rPr>
              <w:t>本科或</w:t>
            </w:r>
            <w:r>
              <w:rPr>
                <w:rFonts w:ascii="宋体" w:hAnsi="宋体" w:eastAsia="宋体"/>
                <w:color w:val="000000" w:themeColor="text1"/>
                <w:sz w:val="24"/>
                <w:highlight w:val="none"/>
                <w14:textFill>
                  <w14:solidFill>
                    <w14:schemeClr w14:val="tx1"/>
                  </w14:solidFill>
                </w14:textFill>
              </w:rPr>
              <w:t>以上学历；</w:t>
            </w:r>
          </w:p>
          <w:p>
            <w:pPr>
              <w:pStyle w:val="2"/>
              <w:numPr>
                <w:ilvl w:val="0"/>
                <w:numId w:val="7"/>
              </w:numPr>
              <w:spacing w:line="400" w:lineRule="exact"/>
              <w:ind w:left="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具有计算机技术与软件专业技术资格（水平）考试</w:t>
            </w:r>
            <w:r>
              <w:rPr>
                <w:rFonts w:hint="eastAsia" w:ascii="宋体" w:hAnsi="宋体"/>
                <w:color w:val="000000" w:themeColor="text1"/>
                <w:sz w:val="24"/>
                <w:highlight w:val="none"/>
                <w14:textFill>
                  <w14:solidFill>
                    <w14:schemeClr w14:val="tx1"/>
                  </w14:solidFill>
                </w14:textFill>
              </w:rPr>
              <w:t>中级或以上资格证书</w:t>
            </w:r>
            <w:r>
              <w:rPr>
                <w:rFonts w:hint="eastAsia"/>
                <w:color w:val="000000" w:themeColor="text1"/>
                <w:sz w:val="24"/>
                <w:szCs w:val="32"/>
                <w:highlight w:val="none"/>
                <w14:textFill>
                  <w14:solidFill>
                    <w14:schemeClr w14:val="tx1"/>
                  </w14:solidFill>
                </w14:textFill>
              </w:rPr>
              <w:t>（信息系统管理工程师或信息系统项目管理师）</w:t>
            </w:r>
            <w:r>
              <w:rPr>
                <w:rFonts w:hint="eastAsia" w:ascii="宋体" w:hAnsi="宋体"/>
                <w:color w:val="000000" w:themeColor="text1"/>
                <w:sz w:val="24"/>
                <w:highlight w:val="none"/>
                <w14:textFill>
                  <w14:solidFill>
                    <w14:schemeClr w14:val="tx1"/>
                  </w14:solidFill>
                </w14:textFill>
              </w:rPr>
              <w:t>；</w:t>
            </w:r>
          </w:p>
          <w:p>
            <w:pPr>
              <w:widowControl/>
              <w:numPr>
                <w:ilvl w:val="0"/>
                <w:numId w:val="7"/>
              </w:numPr>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熟练掌握数据库技术，熟悉oracle、sql server、mysql数据库操作和应用，精通数据处理，精通pl/sql编程；熟练掌握linux、windows操作系统；</w:t>
            </w:r>
          </w:p>
          <w:p>
            <w:pPr>
              <w:widowControl/>
              <w:numPr>
                <w:ilvl w:val="0"/>
                <w:numId w:val="7"/>
              </w:numPr>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熟悉Java等编程技术；</w:t>
            </w:r>
          </w:p>
          <w:p>
            <w:pPr>
              <w:widowControl/>
              <w:numPr>
                <w:ilvl w:val="0"/>
                <w:numId w:val="7"/>
              </w:numPr>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具有较强的事务分析能力，较好的文字功底</w:t>
            </w:r>
          </w:p>
          <w:p>
            <w:pPr>
              <w:widowControl/>
              <w:numPr>
                <w:ilvl w:val="0"/>
                <w:numId w:val="7"/>
              </w:numPr>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能对设计模式有深入的理解和实际应用，能独立承担系统设计；易于沟通，有责任心；</w:t>
            </w:r>
          </w:p>
          <w:p>
            <w:pPr>
              <w:widowControl/>
              <w:numPr>
                <w:ilvl w:val="0"/>
                <w:numId w:val="7"/>
              </w:numPr>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三年</w:t>
            </w:r>
            <w:r>
              <w:rPr>
                <w:rFonts w:hint="eastAsia" w:ascii="宋体" w:hAnsi="宋体" w:eastAsia="宋体"/>
                <w:color w:val="000000" w:themeColor="text1"/>
                <w:kern w:val="0"/>
                <w:sz w:val="24"/>
                <w:highlight w:val="none"/>
                <w14:textFill>
                  <w14:solidFill>
                    <w14:schemeClr w14:val="tx1"/>
                  </w14:solidFill>
                </w14:textFill>
              </w:rPr>
              <w:t>或</w:t>
            </w:r>
            <w:r>
              <w:rPr>
                <w:rFonts w:ascii="宋体" w:hAnsi="宋体" w:eastAsia="宋体"/>
                <w:color w:val="000000" w:themeColor="text1"/>
                <w:kern w:val="0"/>
                <w:sz w:val="24"/>
                <w:highlight w:val="none"/>
                <w14:textFill>
                  <w14:solidFill>
                    <w14:schemeClr w14:val="tx1"/>
                  </w14:solidFill>
                </w14:textFill>
              </w:rPr>
              <w:t>以上</w:t>
            </w:r>
            <w:r>
              <w:rPr>
                <w:rStyle w:val="7"/>
                <w:rFonts w:hint="default" w:ascii="宋体" w:hAnsi="宋体" w:eastAsia="宋体" w:cs="宋体"/>
                <w:color w:val="000000" w:themeColor="text1"/>
                <w:sz w:val="20"/>
                <w:szCs w:val="20"/>
                <w:highlight w:val="none"/>
                <w:lang w:bidi="ar"/>
                <w14:textFill>
                  <w14:solidFill>
                    <w14:schemeClr w14:val="tx1"/>
                  </w14:solidFill>
                </w14:textFill>
              </w:rPr>
              <w:t>信用项目、信息化项目或系统运维类</w:t>
            </w:r>
            <w:r>
              <w:rPr>
                <w:rStyle w:val="8"/>
                <w:rFonts w:hint="default" w:ascii="宋体" w:hAnsi="宋体" w:eastAsia="宋体" w:cs="宋体"/>
                <w:color w:val="000000" w:themeColor="text1"/>
                <w:sz w:val="20"/>
                <w:szCs w:val="20"/>
                <w:highlight w:val="none"/>
                <w:lang w:bidi="ar"/>
                <w14:textFill>
                  <w14:solidFill>
                    <w14:schemeClr w14:val="tx1"/>
                  </w14:solidFill>
                </w14:textFill>
              </w:rPr>
              <w:t>相关项目经验</w:t>
            </w:r>
            <w:r>
              <w:rPr>
                <w:rFonts w:ascii="宋体" w:hAnsi="宋体" w:eastAsia="宋体"/>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433" w:type="pct"/>
            <w:noWrap w:val="0"/>
            <w:vAlign w:val="top"/>
          </w:tcPr>
          <w:p>
            <w:pPr>
              <w:widowControl/>
              <w:spacing w:before="156" w:after="156" w:line="400" w:lineRule="exact"/>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广州市公共信用信息管理系统驻场运维工程师</w:t>
            </w:r>
          </w:p>
        </w:tc>
        <w:tc>
          <w:tcPr>
            <w:tcW w:w="466" w:type="pct"/>
            <w:noWrap w:val="0"/>
            <w:vAlign w:val="top"/>
          </w:tcPr>
          <w:p>
            <w:pPr>
              <w:widowControl/>
              <w:spacing w:line="400" w:lineRule="exact"/>
              <w:jc w:val="center"/>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2人</w:t>
            </w:r>
          </w:p>
        </w:tc>
        <w:tc>
          <w:tcPr>
            <w:tcW w:w="1427" w:type="pct"/>
            <w:noWrap w:val="0"/>
            <w:vAlign w:val="top"/>
          </w:tcPr>
          <w:p>
            <w:pPr>
              <w:widowControl/>
              <w:spacing w:line="400" w:lineRule="exact"/>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负责广州市公共信用信息管理系统的系统开发、接口运维、数据库管理、日常监控工作，处理日常故障，提交监控报告</w:t>
            </w:r>
            <w:r>
              <w:rPr>
                <w:rFonts w:hint="eastAsia" w:ascii="宋体" w:hAnsi="宋体" w:eastAsia="宋体"/>
                <w:color w:val="000000" w:themeColor="text1"/>
                <w:kern w:val="0"/>
                <w:sz w:val="24"/>
                <w:highlight w:val="none"/>
                <w14:textFill>
                  <w14:solidFill>
                    <w14:schemeClr w14:val="tx1"/>
                  </w14:solidFill>
                </w14:textFill>
              </w:rPr>
              <w:t>。</w:t>
            </w:r>
          </w:p>
          <w:p>
            <w:pPr>
              <w:widowControl/>
              <w:spacing w:line="400" w:lineRule="exact"/>
              <w:rPr>
                <w:rFonts w:ascii="宋体" w:hAnsi="宋体" w:eastAsia="宋体"/>
                <w:color w:val="000000" w:themeColor="text1"/>
                <w:kern w:val="0"/>
                <w:sz w:val="24"/>
                <w:highlight w:val="none"/>
                <w14:textFill>
                  <w14:solidFill>
                    <w14:schemeClr w14:val="tx1"/>
                  </w14:solidFill>
                </w14:textFill>
              </w:rPr>
            </w:pPr>
          </w:p>
        </w:tc>
        <w:tc>
          <w:tcPr>
            <w:tcW w:w="2672" w:type="pct"/>
            <w:noWrap w:val="0"/>
            <w:vAlign w:val="top"/>
          </w:tcPr>
          <w:p>
            <w:pPr>
              <w:widowControl/>
              <w:numPr>
                <w:ilvl w:val="0"/>
                <w:numId w:val="8"/>
              </w:numPr>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计算机或相关专业大专或以上学历；</w:t>
            </w:r>
          </w:p>
          <w:p>
            <w:pPr>
              <w:pStyle w:val="2"/>
              <w:numPr>
                <w:ilvl w:val="0"/>
                <w:numId w:val="8"/>
              </w:numPr>
              <w:spacing w:line="400" w:lineRule="exact"/>
              <w:ind w:left="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具有计算机技术与软件专业技术资格（水平）考试</w:t>
            </w:r>
            <w:r>
              <w:rPr>
                <w:rFonts w:hint="eastAsia" w:ascii="宋体" w:hAnsi="宋体"/>
                <w:color w:val="000000" w:themeColor="text1"/>
                <w:sz w:val="24"/>
                <w:highlight w:val="none"/>
                <w14:textFill>
                  <w14:solidFill>
                    <w14:schemeClr w14:val="tx1"/>
                  </w14:solidFill>
                </w14:textFill>
              </w:rPr>
              <w:t>中级资格证书（软件设计师或网络工程师或信息安全工程师或信息系统管理工程师）；</w:t>
            </w:r>
          </w:p>
          <w:p>
            <w:pPr>
              <w:widowControl/>
              <w:numPr>
                <w:ilvl w:val="0"/>
                <w:numId w:val="8"/>
              </w:numPr>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熟练掌握数据库技术，熟悉oracle、sql server、mysql数据库操作和应用，精通数据处理，精通pl/sql编程；熟练掌握linux、windows操作系统；</w:t>
            </w:r>
          </w:p>
          <w:p>
            <w:pPr>
              <w:widowControl/>
              <w:numPr>
                <w:ilvl w:val="0"/>
                <w:numId w:val="8"/>
              </w:numPr>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熟悉Java等编程技术；</w:t>
            </w:r>
          </w:p>
          <w:p>
            <w:pPr>
              <w:widowControl/>
              <w:numPr>
                <w:ilvl w:val="0"/>
                <w:numId w:val="8"/>
              </w:numPr>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具有较强的事务分析能力，较好的文字功底</w:t>
            </w:r>
          </w:p>
          <w:p>
            <w:pPr>
              <w:widowControl/>
              <w:numPr>
                <w:ilvl w:val="0"/>
                <w:numId w:val="8"/>
              </w:numPr>
              <w:spacing w:line="400" w:lineRule="exact"/>
              <w:rPr>
                <w:rFonts w:ascii="宋体" w:hAnsi="宋体" w:eastAsia="宋体"/>
                <w:color w:val="000000" w:themeColor="text1"/>
                <w:kern w:val="0"/>
                <w:sz w:val="24"/>
                <w:highlight w:val="none"/>
                <w14:textFill>
                  <w14:solidFill>
                    <w14:schemeClr w14:val="tx1"/>
                  </w14:solidFill>
                </w14:textFill>
              </w:rPr>
            </w:pPr>
            <w:r>
              <w:rPr>
                <w:rFonts w:ascii="宋体" w:hAnsi="宋体" w:eastAsia="宋体"/>
                <w:color w:val="000000" w:themeColor="text1"/>
                <w:kern w:val="0"/>
                <w:sz w:val="24"/>
                <w:highlight w:val="none"/>
                <w14:textFill>
                  <w14:solidFill>
                    <w14:schemeClr w14:val="tx1"/>
                  </w14:solidFill>
                </w14:textFill>
              </w:rPr>
              <w:t>能对设计模式有深入的理解和实际应用，能独立承担系统设计；易于沟通，有责任心；</w:t>
            </w:r>
          </w:p>
          <w:p>
            <w:pPr>
              <w:widowControl/>
              <w:numPr>
                <w:ilvl w:val="0"/>
                <w:numId w:val="8"/>
              </w:numPr>
              <w:spacing w:line="400" w:lineRule="exact"/>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val="en-US" w:eastAsia="zh-CN"/>
                <w14:textFill>
                  <w14:solidFill>
                    <w14:schemeClr w14:val="tx1"/>
                  </w14:solidFill>
                </w14:textFill>
              </w:rPr>
              <w:t>2022年1月1日至今，</w:t>
            </w:r>
            <w:r>
              <w:rPr>
                <w:rStyle w:val="8"/>
                <w:rFonts w:hint="default" w:ascii="宋体" w:hAnsi="宋体" w:eastAsia="宋体" w:cs="宋体"/>
                <w:color w:val="000000" w:themeColor="text1"/>
                <w:sz w:val="20"/>
                <w:szCs w:val="20"/>
                <w:highlight w:val="none"/>
                <w:lang w:bidi="ar"/>
                <w14:textFill>
                  <w14:solidFill>
                    <w14:schemeClr w14:val="tx1"/>
                  </w14:solidFill>
                </w14:textFill>
              </w:rPr>
              <w:t>具有</w:t>
            </w:r>
            <w:r>
              <w:rPr>
                <w:rStyle w:val="7"/>
                <w:rFonts w:hint="default" w:ascii="宋体" w:hAnsi="宋体" w:eastAsia="宋体" w:cs="宋体"/>
                <w:color w:val="000000" w:themeColor="text1"/>
                <w:sz w:val="20"/>
                <w:szCs w:val="20"/>
                <w:highlight w:val="none"/>
                <w:lang w:bidi="ar"/>
                <w14:textFill>
                  <w14:solidFill>
                    <w14:schemeClr w14:val="tx1"/>
                  </w14:solidFill>
                </w14:textFill>
              </w:rPr>
              <w:t>信用项目或信息化项目或系统运维类</w:t>
            </w:r>
            <w:r>
              <w:rPr>
                <w:rStyle w:val="8"/>
                <w:rFonts w:hint="default" w:ascii="宋体" w:hAnsi="宋体" w:eastAsia="宋体" w:cs="宋体"/>
                <w:color w:val="000000" w:themeColor="text1"/>
                <w:sz w:val="20"/>
                <w:szCs w:val="20"/>
                <w:highlight w:val="none"/>
                <w:lang w:bidi="ar"/>
                <w14:textFill>
                  <w14:solidFill>
                    <w14:schemeClr w14:val="tx1"/>
                  </w14:solidFill>
                </w14:textFill>
              </w:rPr>
              <w:t>相关项目经验。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834" w:type="dxa"/>
            <w:noWrap w:val="0"/>
            <w:vAlign w:val="top"/>
          </w:tcPr>
          <w:p>
            <w:pPr>
              <w:widowControl/>
              <w:spacing w:before="156" w:after="156" w:line="400" w:lineRule="exact"/>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广州市信用监管应用支撑平台二线运维工程师</w:t>
            </w:r>
          </w:p>
        </w:tc>
        <w:tc>
          <w:tcPr>
            <w:tcW w:w="897" w:type="dxa"/>
            <w:noWrap w:val="0"/>
            <w:vAlign w:val="top"/>
          </w:tcPr>
          <w:p>
            <w:pPr>
              <w:widowControl/>
              <w:spacing w:line="400" w:lineRule="exact"/>
              <w:jc w:val="center"/>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w:t>
            </w:r>
            <w:r>
              <w:rPr>
                <w:rFonts w:ascii="宋体" w:hAnsi="宋体" w:eastAsia="宋体"/>
                <w:color w:val="000000" w:themeColor="text1"/>
                <w:kern w:val="0"/>
                <w:sz w:val="24"/>
                <w:highlight w:val="none"/>
                <w14:textFill>
                  <w14:solidFill>
                    <w14:schemeClr w14:val="tx1"/>
                  </w14:solidFill>
                </w14:textFill>
              </w:rPr>
              <w:t>人</w:t>
            </w:r>
          </w:p>
        </w:tc>
        <w:tc>
          <w:tcPr>
            <w:tcW w:w="2747" w:type="dxa"/>
            <w:noWrap w:val="0"/>
            <w:vAlign w:val="top"/>
          </w:tcPr>
          <w:p>
            <w:pP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负责广州市信用监管应用支撑平台的日常监控工作，处理日常故障，提交监控报告；负责接入开发、接口开发的技术支持工作。</w:t>
            </w:r>
          </w:p>
          <w:p>
            <w:pPr>
              <w:widowControl/>
              <w:spacing w:line="400" w:lineRule="exact"/>
              <w:rPr>
                <w:rFonts w:ascii="宋体" w:hAnsi="宋体" w:eastAsia="宋体"/>
                <w:color w:val="000000" w:themeColor="text1"/>
                <w:kern w:val="0"/>
                <w:sz w:val="24"/>
                <w:highlight w:val="none"/>
                <w14:textFill>
                  <w14:solidFill>
                    <w14:schemeClr w14:val="tx1"/>
                  </w14:solidFill>
                </w14:textFill>
              </w:rPr>
            </w:pPr>
          </w:p>
        </w:tc>
        <w:tc>
          <w:tcPr>
            <w:tcW w:w="5144" w:type="dxa"/>
            <w:noWrap w:val="0"/>
            <w:vAlign w:val="top"/>
          </w:tcPr>
          <w:p>
            <w:pPr>
              <w:widowControl/>
              <w:spacing w:line="400" w:lineRule="exact"/>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1.计算机或相关专业大专或以上学历；</w:t>
            </w:r>
          </w:p>
          <w:p>
            <w:pPr>
              <w:widowControl/>
              <w:spacing w:line="400" w:lineRule="exact"/>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2.熟练掌握数据库技术，熟悉oracle、sql server、my sql数据库操作和应用，精通数据处理，精通pl/sql编程；熟练掌握linux、windows操作系统；</w:t>
            </w:r>
          </w:p>
          <w:p>
            <w:pPr>
              <w:widowControl/>
              <w:spacing w:line="400" w:lineRule="exact"/>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3.熟悉Java等编程技术；</w:t>
            </w:r>
          </w:p>
          <w:p>
            <w:pPr>
              <w:widowControl/>
              <w:spacing w:line="400" w:lineRule="exact"/>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4.具有较强的事务分析能力，较好的文字功底</w:t>
            </w:r>
          </w:p>
          <w:p>
            <w:pPr>
              <w:widowControl/>
              <w:spacing w:line="400" w:lineRule="exact"/>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5.能对设计模式有深入的理解和实际应用，能独立承担系统设计；易于沟通，有责任心；</w:t>
            </w:r>
          </w:p>
          <w:p>
            <w:pPr>
              <w:widowControl/>
              <w:spacing w:line="400" w:lineRule="exact"/>
              <w:rPr>
                <w:rFonts w:hint="eastAsia"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6.</w:t>
            </w:r>
            <w:r>
              <w:rPr>
                <w:rFonts w:hint="eastAsia" w:ascii="宋体" w:hAnsi="宋体" w:eastAsia="宋体"/>
                <w:color w:val="000000" w:themeColor="text1"/>
                <w:kern w:val="0"/>
                <w:sz w:val="24"/>
                <w:highlight w:val="none"/>
                <w:lang w:val="en-US" w:eastAsia="zh-CN"/>
                <w14:textFill>
                  <w14:solidFill>
                    <w14:schemeClr w14:val="tx1"/>
                  </w14:solidFill>
                </w14:textFill>
              </w:rPr>
              <w:t>2022年1月1日至今，</w:t>
            </w:r>
            <w:r>
              <w:rPr>
                <w:rStyle w:val="8"/>
                <w:rFonts w:hint="default" w:ascii="宋体" w:hAnsi="宋体" w:eastAsia="宋体" w:cs="宋体"/>
                <w:color w:val="000000" w:themeColor="text1"/>
                <w:sz w:val="20"/>
                <w:szCs w:val="20"/>
                <w:highlight w:val="none"/>
                <w:lang w:bidi="ar"/>
                <w14:textFill>
                  <w14:solidFill>
                    <w14:schemeClr w14:val="tx1"/>
                  </w14:solidFill>
                </w14:textFill>
              </w:rPr>
              <w:t>具有</w:t>
            </w:r>
            <w:r>
              <w:rPr>
                <w:rStyle w:val="7"/>
                <w:rFonts w:hint="default" w:ascii="宋体" w:hAnsi="宋体" w:eastAsia="宋体" w:cs="宋体"/>
                <w:color w:val="000000" w:themeColor="text1"/>
                <w:sz w:val="20"/>
                <w:szCs w:val="20"/>
                <w:highlight w:val="none"/>
                <w:lang w:bidi="ar"/>
                <w14:textFill>
                  <w14:solidFill>
                    <w14:schemeClr w14:val="tx1"/>
                  </w14:solidFill>
                </w14:textFill>
              </w:rPr>
              <w:t>信用项目或信息化项目或系统运维类</w:t>
            </w:r>
            <w:r>
              <w:rPr>
                <w:rStyle w:val="8"/>
                <w:rFonts w:hint="default" w:ascii="宋体" w:hAnsi="宋体" w:eastAsia="宋体" w:cs="宋体"/>
                <w:color w:val="000000" w:themeColor="text1"/>
                <w:sz w:val="20"/>
                <w:szCs w:val="20"/>
                <w:highlight w:val="none"/>
                <w:lang w:bidi="ar"/>
                <w14:textFill>
                  <w14:solidFill>
                    <w14:schemeClr w14:val="tx1"/>
                  </w14:solidFill>
                </w14:textFill>
              </w:rPr>
              <w:t>相关项目经验。</w:t>
            </w:r>
          </w:p>
        </w:tc>
      </w:tr>
    </w:tbl>
    <w:p>
      <w:pPr>
        <w:pStyle w:val="2"/>
        <w:rPr>
          <w:rFonts w:ascii="宋体" w:hAnsi="宋体"/>
          <w:b/>
          <w:color w:val="000000" w:themeColor="text1"/>
          <w:sz w:val="24"/>
          <w:highlight w:val="none"/>
          <w14:textFill>
            <w14:solidFill>
              <w14:schemeClr w14:val="tx1"/>
            </w14:solidFill>
          </w14:textFill>
        </w:rPr>
      </w:pPr>
    </w:p>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九、IT运维服务保障要求</w:t>
      </w:r>
    </w:p>
    <w:p>
      <w:pPr>
        <w:pStyle w:val="9"/>
        <w:numPr>
          <w:ilvl w:val="0"/>
          <w:numId w:val="9"/>
        </w:numPr>
        <w:spacing w:line="360" w:lineRule="auto"/>
        <w:ind w:left="6" w:firstLine="500" w:firstLineChars="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维护范围内的业务系统故障率（因乙方原因造成）不高于0.1%（故障率=业务系统故障停机时间÷业务系统总开机运行时间×100%）。</w:t>
      </w:r>
    </w:p>
    <w:p>
      <w:pPr>
        <w:pStyle w:val="9"/>
        <w:numPr>
          <w:ilvl w:val="0"/>
          <w:numId w:val="9"/>
        </w:numPr>
        <w:spacing w:line="360" w:lineRule="auto"/>
        <w:ind w:left="6" w:firstLine="500" w:firstLineChars="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维护范围内的服务完成率不低于99%（完成率=实际完成数÷应完成数×100%）。</w:t>
      </w:r>
    </w:p>
    <w:p>
      <w:pPr>
        <w:pStyle w:val="9"/>
        <w:numPr>
          <w:ilvl w:val="0"/>
          <w:numId w:val="9"/>
        </w:numPr>
        <w:spacing w:line="360" w:lineRule="auto"/>
        <w:ind w:left="6" w:firstLine="500" w:firstLineChars="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维护范围内的故障排除率不低于99%（排除率=排除故障次数÷故障次数×100%）。</w:t>
      </w:r>
    </w:p>
    <w:p>
      <w:pPr>
        <w:pStyle w:val="9"/>
        <w:numPr>
          <w:ilvl w:val="0"/>
          <w:numId w:val="9"/>
        </w:numPr>
        <w:spacing w:line="360" w:lineRule="auto"/>
        <w:ind w:left="6" w:firstLine="500" w:firstLineChars="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维护范围内的服务对象满意率不低于95%（满意率=满意次数÷总服务次数×100%）。</w:t>
      </w:r>
    </w:p>
    <w:p>
      <w:pPr>
        <w:spacing w:line="360" w:lineRule="auto"/>
        <w:ind w:firstLine="460"/>
        <w:rPr>
          <w:rFonts w:ascii="宋体" w:hAnsi="宋体" w:eastAsia="宋体"/>
          <w:color w:val="000000" w:themeColor="text1"/>
          <w:szCs w:val="22"/>
          <w:highlight w:val="none"/>
          <w14:textFill>
            <w14:solidFill>
              <w14:schemeClr w14:val="tx1"/>
            </w14:solidFill>
          </w14:textFill>
        </w:rPr>
      </w:pPr>
    </w:p>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十、IT运维服务响应要求</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（一）影响到业务正常开展的故障，</w:t>
      </w:r>
      <w:r>
        <w:rPr>
          <w:rFonts w:ascii="宋体" w:hAnsi="宋体" w:eastAsia="宋体"/>
          <w:color w:val="000000" w:themeColor="text1"/>
          <w:sz w:val="24"/>
          <w:highlight w:val="none"/>
          <w:u w:val="single"/>
          <w14:textFill>
            <w14:solidFill>
              <w14:schemeClr w14:val="tx1"/>
            </w14:solidFill>
          </w14:textFill>
        </w:rPr>
        <w:t xml:space="preserve">  5  </w:t>
      </w:r>
      <w:r>
        <w:rPr>
          <w:rFonts w:ascii="宋体" w:hAnsi="宋体" w:eastAsia="宋体"/>
          <w:color w:val="000000" w:themeColor="text1"/>
          <w:sz w:val="24"/>
          <w:highlight w:val="none"/>
          <w14:textFill>
            <w14:solidFill>
              <w14:schemeClr w14:val="tx1"/>
            </w14:solidFill>
          </w14:textFill>
        </w:rPr>
        <w:t>分钟内到达现场，</w:t>
      </w:r>
      <w:r>
        <w:rPr>
          <w:rFonts w:ascii="宋体" w:hAnsi="宋体" w:eastAsia="宋体"/>
          <w:color w:val="000000" w:themeColor="text1"/>
          <w:sz w:val="24"/>
          <w:highlight w:val="none"/>
          <w:u w:val="single"/>
          <w14:textFill>
            <w14:solidFill>
              <w14:schemeClr w14:val="tx1"/>
            </w14:solidFill>
          </w14:textFill>
        </w:rPr>
        <w:t xml:space="preserve"> 10   </w:t>
      </w:r>
      <w:r>
        <w:rPr>
          <w:rFonts w:ascii="宋体" w:hAnsi="宋体" w:eastAsia="宋体"/>
          <w:color w:val="000000" w:themeColor="text1"/>
          <w:sz w:val="24"/>
          <w:highlight w:val="none"/>
          <w14:textFill>
            <w14:solidFill>
              <w14:schemeClr w14:val="tx1"/>
            </w14:solidFill>
          </w14:textFill>
        </w:rPr>
        <w:t xml:space="preserve">分钟内报告采购方主管负责人， </w:t>
      </w:r>
      <w:r>
        <w:rPr>
          <w:rFonts w:ascii="宋体" w:hAnsi="宋体" w:eastAsia="宋体"/>
          <w:color w:val="000000" w:themeColor="text1"/>
          <w:sz w:val="24"/>
          <w:highlight w:val="none"/>
          <w:u w:val="single"/>
          <w14:textFill>
            <w14:solidFill>
              <w14:schemeClr w14:val="tx1"/>
            </w14:solidFill>
          </w14:textFill>
        </w:rPr>
        <w:t xml:space="preserve"> 1  </w:t>
      </w:r>
      <w:r>
        <w:rPr>
          <w:rFonts w:ascii="宋体" w:hAnsi="宋体" w:eastAsia="宋体"/>
          <w:color w:val="000000" w:themeColor="text1"/>
          <w:sz w:val="24"/>
          <w:highlight w:val="none"/>
          <w14:textFill>
            <w14:solidFill>
              <w14:schemeClr w14:val="tx1"/>
            </w14:solidFill>
          </w14:textFill>
        </w:rPr>
        <w:t>小时内安排资源解决。如不能解决，需要二线技术人员提供现场技术支持服务，最迟在</w:t>
      </w:r>
      <w:r>
        <w:rPr>
          <w:rFonts w:ascii="宋体" w:hAnsi="宋体" w:eastAsia="宋体"/>
          <w:color w:val="000000" w:themeColor="text1"/>
          <w:sz w:val="24"/>
          <w:highlight w:val="none"/>
          <w:u w:val="single"/>
          <w14:textFill>
            <w14:solidFill>
              <w14:schemeClr w14:val="tx1"/>
            </w14:solidFill>
          </w14:textFill>
        </w:rPr>
        <w:t xml:space="preserve">  2  </w:t>
      </w:r>
      <w:r>
        <w:rPr>
          <w:rFonts w:ascii="宋体" w:hAnsi="宋体" w:eastAsia="宋体"/>
          <w:color w:val="000000" w:themeColor="text1"/>
          <w:sz w:val="24"/>
          <w:highlight w:val="none"/>
          <w14:textFill>
            <w14:solidFill>
              <w14:schemeClr w14:val="tx1"/>
            </w14:solidFill>
          </w14:textFill>
        </w:rPr>
        <w:t>小时内解决问题。在故障解决过程中，保持每</w:t>
      </w:r>
      <w:r>
        <w:rPr>
          <w:rFonts w:ascii="宋体" w:hAnsi="宋体" w:eastAsia="宋体"/>
          <w:color w:val="000000" w:themeColor="text1"/>
          <w:sz w:val="24"/>
          <w:highlight w:val="none"/>
          <w:u w:val="single"/>
          <w14:textFill>
            <w14:solidFill>
              <w14:schemeClr w14:val="tx1"/>
            </w14:solidFill>
          </w14:textFill>
        </w:rPr>
        <w:t xml:space="preserve">  1  </w:t>
      </w:r>
      <w:r>
        <w:rPr>
          <w:rFonts w:ascii="宋体" w:hAnsi="宋体" w:eastAsia="宋体"/>
          <w:color w:val="000000" w:themeColor="text1"/>
          <w:sz w:val="24"/>
          <w:highlight w:val="none"/>
          <w14:textFill>
            <w14:solidFill>
              <w14:schemeClr w14:val="tx1"/>
            </w14:solidFill>
          </w14:textFill>
        </w:rPr>
        <w:t>小时内1次与客户进行情况汇报。</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（二）不影响业务正常开展的故障，</w:t>
      </w:r>
      <w:r>
        <w:rPr>
          <w:rFonts w:ascii="宋体" w:hAnsi="宋体" w:eastAsia="宋体"/>
          <w:color w:val="000000" w:themeColor="text1"/>
          <w:sz w:val="24"/>
          <w:highlight w:val="none"/>
          <w:u w:val="single"/>
          <w14:textFill>
            <w14:solidFill>
              <w14:schemeClr w14:val="tx1"/>
            </w14:solidFill>
          </w14:textFill>
        </w:rPr>
        <w:t xml:space="preserve">  30 </w:t>
      </w:r>
      <w:r>
        <w:rPr>
          <w:rFonts w:ascii="宋体" w:hAnsi="宋体" w:eastAsia="宋体"/>
          <w:color w:val="000000" w:themeColor="text1"/>
          <w:sz w:val="24"/>
          <w:highlight w:val="none"/>
          <w14:textFill>
            <w14:solidFill>
              <w14:schemeClr w14:val="tx1"/>
            </w14:solidFill>
          </w14:textFill>
        </w:rPr>
        <w:t>分钟内到达现场，</w:t>
      </w:r>
      <w:r>
        <w:rPr>
          <w:rFonts w:ascii="宋体" w:hAnsi="宋体" w:eastAsia="宋体"/>
          <w:color w:val="000000" w:themeColor="text1"/>
          <w:sz w:val="24"/>
          <w:highlight w:val="none"/>
          <w:u w:val="single"/>
          <w14:textFill>
            <w14:solidFill>
              <w14:schemeClr w14:val="tx1"/>
            </w14:solidFill>
          </w14:textFill>
        </w:rPr>
        <w:t xml:space="preserve">  1  </w:t>
      </w:r>
      <w:r>
        <w:rPr>
          <w:rFonts w:ascii="宋体" w:hAnsi="宋体" w:eastAsia="宋体"/>
          <w:color w:val="000000" w:themeColor="text1"/>
          <w:sz w:val="24"/>
          <w:highlight w:val="none"/>
          <w14:textFill>
            <w14:solidFill>
              <w14:schemeClr w14:val="tx1"/>
            </w14:solidFill>
          </w14:textFill>
        </w:rPr>
        <w:t>小时内报告采购方主管负责人，</w:t>
      </w:r>
      <w:r>
        <w:rPr>
          <w:rFonts w:ascii="宋体" w:hAnsi="宋体" w:eastAsia="宋体"/>
          <w:color w:val="000000" w:themeColor="text1"/>
          <w:sz w:val="24"/>
          <w:highlight w:val="none"/>
          <w:u w:val="single"/>
          <w14:textFill>
            <w14:solidFill>
              <w14:schemeClr w14:val="tx1"/>
            </w14:solidFill>
          </w14:textFill>
        </w:rPr>
        <w:t xml:space="preserve"> 1 </w:t>
      </w:r>
      <w:r>
        <w:rPr>
          <w:rFonts w:ascii="宋体" w:hAnsi="宋体" w:eastAsia="宋体"/>
          <w:color w:val="000000" w:themeColor="text1"/>
          <w:sz w:val="24"/>
          <w:highlight w:val="none"/>
          <w14:textFill>
            <w14:solidFill>
              <w14:schemeClr w14:val="tx1"/>
            </w14:solidFill>
          </w14:textFill>
        </w:rPr>
        <w:t>个工作日内解决。</w:t>
      </w:r>
    </w:p>
    <w:p>
      <w:pPr>
        <w:spacing w:line="360" w:lineRule="auto"/>
        <w:ind w:firstLine="504" w:firstLineChars="210"/>
        <w:rPr>
          <w:rFonts w:hint="eastAsia" w:ascii="宋体" w:hAnsi="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上述两项为：服务人员管理和服务质量保证措施</w:t>
      </w:r>
      <w:r>
        <w:rPr>
          <w:rFonts w:hint="eastAsia"/>
          <w:color w:val="000000" w:themeColor="text1"/>
          <w:highlight w:val="none"/>
          <w14:textFill>
            <w14:solidFill>
              <w14:schemeClr w14:val="tx1"/>
            </w14:solidFill>
          </w14:textFill>
        </w:rPr>
        <w:t>。</w:t>
      </w:r>
    </w:p>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十一、IT运维服务质量考核要求</w:t>
      </w:r>
    </w:p>
    <w:p>
      <w:pPr>
        <w:pStyle w:val="9"/>
        <w:spacing w:line="360" w:lineRule="auto"/>
        <w:ind w:left="76" w:leftChars="36" w:firstLine="480"/>
        <w:outlineLvl w:val="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一）按照运维服务考核表（见下表），每三个月百分制进行考核（剩余服务期不足三个月的以剩余服务期作为一个考核周期），每出现一次考核低于60分的，乙方应按照合同总价15%的标准向甲方支付违约金，低于80分的，乙方应按照合同总价10%的标准向甲方支付违约金，低于90分的，乙方应按照合同总价5%的标准向甲方支付违约金，对乙方在本合同项下产生的违约金，甲方有权从应付未付款项中直接扣除，未付款项不足以抵扣的甲方有权另行追偿</w:t>
      </w:r>
      <w:r>
        <w:rPr>
          <w:rFonts w:ascii="宋体" w:hAnsi="宋体"/>
          <w:bCs/>
          <w:color w:val="000000" w:themeColor="text1"/>
          <w:sz w:val="24"/>
          <w:szCs w:val="24"/>
          <w:highlight w:val="none"/>
          <w14:textFill>
            <w14:solidFill>
              <w14:schemeClr w14:val="tx1"/>
            </w14:solidFill>
          </w14:textFill>
        </w:rPr>
        <w:t>。</w:t>
      </w:r>
    </w:p>
    <w:tbl>
      <w:tblPr>
        <w:tblStyle w:val="4"/>
        <w:tblW w:w="9781" w:type="dxa"/>
        <w:jc w:val="center"/>
        <w:tblLayout w:type="autofit"/>
        <w:tblCellMar>
          <w:top w:w="0" w:type="dxa"/>
          <w:left w:w="108" w:type="dxa"/>
          <w:bottom w:w="0" w:type="dxa"/>
          <w:right w:w="108" w:type="dxa"/>
        </w:tblCellMar>
      </w:tblPr>
      <w:tblGrid>
        <w:gridCol w:w="1230"/>
        <w:gridCol w:w="1563"/>
        <w:gridCol w:w="1816"/>
        <w:gridCol w:w="2241"/>
        <w:gridCol w:w="1793"/>
        <w:gridCol w:w="1138"/>
      </w:tblGrid>
      <w:tr>
        <w:tblPrEx>
          <w:tblCellMar>
            <w:top w:w="0" w:type="dxa"/>
            <w:left w:w="108" w:type="dxa"/>
            <w:bottom w:w="0" w:type="dxa"/>
            <w:right w:w="108" w:type="dxa"/>
          </w:tblCellMar>
        </w:tblPrEx>
        <w:trPr>
          <w:trHeight w:val="624" w:hRule="atLeast"/>
          <w:jc w:val="center"/>
        </w:trPr>
        <w:tc>
          <w:tcPr>
            <w:tcW w:w="978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b/>
                <w:bCs/>
                <w:color w:val="000000" w:themeColor="text1"/>
                <w:sz w:val="32"/>
                <w:szCs w:val="32"/>
                <w:highlight w:val="none"/>
                <w14:textFill>
                  <w14:solidFill>
                    <w14:schemeClr w14:val="tx1"/>
                  </w14:solidFill>
                </w14:textFill>
              </w:rPr>
            </w:pPr>
            <w:r>
              <w:rPr>
                <w:rFonts w:ascii="宋体" w:hAnsi="宋体" w:eastAsia="宋体"/>
                <w:b/>
                <w:bCs/>
                <w:color w:val="000000" w:themeColor="text1"/>
                <w:kern w:val="0"/>
                <w:sz w:val="32"/>
                <w:szCs w:val="32"/>
                <w:highlight w:val="none"/>
                <w14:textFill>
                  <w14:solidFill>
                    <w14:schemeClr w14:val="tx1"/>
                  </w14:solidFill>
                </w14:textFill>
              </w:rPr>
              <w:t>运维服务考核表</w:t>
            </w:r>
          </w:p>
        </w:tc>
      </w:tr>
      <w:tr>
        <w:tblPrEx>
          <w:tblCellMar>
            <w:top w:w="0" w:type="dxa"/>
            <w:left w:w="108" w:type="dxa"/>
            <w:bottom w:w="0" w:type="dxa"/>
            <w:right w:w="108" w:type="dxa"/>
          </w:tblCellMar>
        </w:tblPrEx>
        <w:trPr>
          <w:trHeight w:val="624" w:hRule="atLeast"/>
          <w:jc w:val="center"/>
        </w:trPr>
        <w:tc>
          <w:tcPr>
            <w:tcW w:w="978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b/>
                <w:bCs/>
                <w:color w:val="000000" w:themeColor="text1"/>
                <w:sz w:val="32"/>
                <w:szCs w:val="32"/>
                <w:highlight w:val="none"/>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97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项目名称：XXXXXXX</w:t>
            </w:r>
          </w:p>
        </w:tc>
      </w:tr>
      <w:tr>
        <w:tblPrEx>
          <w:tblCellMar>
            <w:top w:w="0" w:type="dxa"/>
            <w:left w:w="108" w:type="dxa"/>
            <w:bottom w:w="0" w:type="dxa"/>
            <w:right w:w="108" w:type="dxa"/>
          </w:tblCellMar>
        </w:tblPrEx>
        <w:trPr>
          <w:trHeight w:val="520" w:hRule="atLeast"/>
          <w:jc w:val="center"/>
        </w:trPr>
        <w:tc>
          <w:tcPr>
            <w:tcW w:w="97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Style w:val="10"/>
                <w:rFonts w:hint="default" w:cs="Times New Roman"/>
                <w:color w:val="000000" w:themeColor="text1"/>
                <w:highlight w:val="none"/>
                <w14:textFill>
                  <w14:solidFill>
                    <w14:schemeClr w14:val="tx1"/>
                  </w14:solidFill>
                </w14:textFill>
              </w:rPr>
              <w:t>考核对象：承建单位（XXXXXXXX</w:t>
            </w:r>
            <w:r>
              <w:rPr>
                <w:rStyle w:val="11"/>
                <w:rFonts w:hint="default" w:cs="Times New Roman"/>
                <w:color w:val="000000" w:themeColor="text1"/>
                <w:highlight w:val="none"/>
                <w14:textFill>
                  <w14:solidFill>
                    <w14:schemeClr w14:val="tx1"/>
                  </w14:solidFill>
                </w14:textFill>
              </w:rPr>
              <w:t xml:space="preserve"> </w:t>
            </w:r>
            <w:r>
              <w:rPr>
                <w:rStyle w:val="10"/>
                <w:rFonts w:hint="default" w:cs="Times New Roman"/>
                <w:color w:val="000000" w:themeColor="text1"/>
                <w:highlight w:val="none"/>
                <w14:textFill>
                  <w14:solidFill>
                    <w14:schemeClr w14:val="tx1"/>
                  </w14:solidFill>
                </w14:textFill>
              </w:rPr>
              <w:t>）</w:t>
            </w:r>
          </w:p>
        </w:tc>
      </w:tr>
      <w:tr>
        <w:tblPrEx>
          <w:tblCellMar>
            <w:top w:w="0" w:type="dxa"/>
            <w:left w:w="108" w:type="dxa"/>
            <w:bottom w:w="0" w:type="dxa"/>
            <w:right w:w="108" w:type="dxa"/>
          </w:tblCellMar>
        </w:tblPrEx>
        <w:trPr>
          <w:trHeight w:val="460" w:hRule="atLeast"/>
          <w:jc w:val="center"/>
        </w:trPr>
        <w:tc>
          <w:tcPr>
            <w:tcW w:w="97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考核日期：XXXX年XX月至XXXX年XX月</w:t>
            </w:r>
          </w:p>
        </w:tc>
      </w:tr>
      <w:tr>
        <w:tblPrEx>
          <w:tblCellMar>
            <w:top w:w="0" w:type="dxa"/>
            <w:left w:w="108" w:type="dxa"/>
            <w:bottom w:w="0" w:type="dxa"/>
            <w:right w:w="108" w:type="dxa"/>
          </w:tblCellMar>
        </w:tblPrEx>
        <w:trPr>
          <w:trHeight w:val="460" w:hRule="atLeast"/>
          <w:jc w:val="center"/>
        </w:trPr>
        <w:tc>
          <w:tcPr>
            <w:tcW w:w="978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考核内容：运维服务质量、运维服务合规性、能力与可持续性、客户满意度等</w:t>
            </w:r>
          </w:p>
        </w:tc>
      </w:tr>
      <w:tr>
        <w:tblPrEx>
          <w:tblCellMar>
            <w:top w:w="0" w:type="dxa"/>
            <w:left w:w="108" w:type="dxa"/>
            <w:bottom w:w="0" w:type="dxa"/>
            <w:right w:w="108" w:type="dxa"/>
          </w:tblCellMar>
        </w:tblPrEx>
        <w:trPr>
          <w:trHeight w:val="52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考核项</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运维服务质量</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运维服务合规性</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客户满意度</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能力与可持续性</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总分</w:t>
            </w:r>
          </w:p>
        </w:tc>
      </w:tr>
      <w:tr>
        <w:tblPrEx>
          <w:tblCellMar>
            <w:top w:w="0" w:type="dxa"/>
            <w:left w:w="108" w:type="dxa"/>
            <w:bottom w:w="0" w:type="dxa"/>
            <w:right w:w="108" w:type="dxa"/>
          </w:tblCellMar>
        </w:tblPrEx>
        <w:trPr>
          <w:trHeight w:val="38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分值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50</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25</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20</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5</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100</w:t>
            </w:r>
          </w:p>
        </w:tc>
      </w:tr>
      <w:tr>
        <w:tblPrEx>
          <w:tblCellMar>
            <w:top w:w="0" w:type="dxa"/>
            <w:left w:w="108" w:type="dxa"/>
            <w:bottom w:w="0" w:type="dxa"/>
            <w:right w:w="108" w:type="dxa"/>
          </w:tblCellMar>
        </w:tblPrEx>
        <w:trPr>
          <w:trHeight w:val="52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考核得分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074" w:hRule="atLeast"/>
          <w:jc w:val="center"/>
        </w:trPr>
        <w:tc>
          <w:tcPr>
            <w:tcW w:w="9781" w:type="dxa"/>
            <w:gridSpan w:val="6"/>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考核分值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考核人</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得分</w:t>
            </w:r>
          </w:p>
        </w:tc>
        <w:tc>
          <w:tcPr>
            <w:tcW w:w="51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b/>
                <w:bCs/>
                <w:color w:val="000000" w:themeColor="text1"/>
                <w:sz w:val="28"/>
                <w:szCs w:val="28"/>
                <w:highlight w:val="none"/>
                <w14:textFill>
                  <w14:solidFill>
                    <w14:schemeClr w14:val="tx1"/>
                  </w14:solidFill>
                </w14:textFill>
              </w:rPr>
            </w:pPr>
            <w:r>
              <w:rPr>
                <w:rFonts w:ascii="宋体" w:hAnsi="宋体" w:eastAsia="宋体"/>
                <w:b/>
                <w:bCs/>
                <w:color w:val="000000" w:themeColor="text1"/>
                <w:kern w:val="0"/>
                <w:sz w:val="28"/>
                <w:szCs w:val="28"/>
                <w:highlight w:val="none"/>
                <w14:textFill>
                  <w14:solidFill>
                    <w14:schemeClr w14:val="tx1"/>
                  </w14:solidFill>
                </w14:textFill>
              </w:rPr>
              <w:t>一、 运维服务质量</w:t>
            </w:r>
          </w:p>
        </w:tc>
      </w:tr>
      <w:tr>
        <w:tblPrEx>
          <w:tblCellMar>
            <w:top w:w="0" w:type="dxa"/>
            <w:left w:w="108" w:type="dxa"/>
            <w:bottom w:w="0" w:type="dxa"/>
            <w:right w:w="108" w:type="dxa"/>
          </w:tblCellMar>
        </w:tblPrEx>
        <w:trPr>
          <w:trHeight w:val="58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50分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51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b/>
                <w:bCs/>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一级指标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二级指标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三级指标</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指标说明</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评分说明</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考核得分</w:t>
            </w:r>
          </w:p>
        </w:tc>
      </w:tr>
      <w:tr>
        <w:tblPrEx>
          <w:tblCellMar>
            <w:top w:w="0" w:type="dxa"/>
            <w:left w:w="108" w:type="dxa"/>
            <w:bottom w:w="0" w:type="dxa"/>
            <w:right w:w="108" w:type="dxa"/>
          </w:tblCellMar>
        </w:tblPrEx>
        <w:trPr>
          <w:trHeight w:val="90"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运维服务质量（50分）</w:t>
            </w: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运维服务的进度完成情况（15分）</w:t>
            </w:r>
          </w:p>
        </w:tc>
        <w:tc>
          <w:tcPr>
            <w:tcW w:w="1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项目实施进度计划完成情况（12分）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运维服务方案进度完成情况（4分）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周报准时提交（4分）（一次违规扣1分）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月报准时提交（4分）（一次违规扣1分）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重要工作按时按质完成率（3分）</w:t>
            </w:r>
          </w:p>
        </w:tc>
        <w:tc>
          <w:tcPr>
            <w:tcW w:w="22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领导、总包或第三方布置的任务，如会议纪要交办事项落实等。完成率低于70%（扣3分）；低于80%（扣2分）；低于90%（扣1分）：低于100%（扣0.5分）</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22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18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22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52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业务可用性（10分）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业务系统/网络系统可用性（10分）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可用性=A/(A+B)(平均无故障时间A、平均故障恢复时间B）。一个业务低于70%（扣3分）；低于80%（扣2分）；低于90%（扣1分）：低于100%（扣0.5分），多个业务按此类推</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96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响应型服务质量（10分）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事件/业务响应时间达标率（2分）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运维实施过程中对于事件/业务响应及时情况。达标率低于70%（扣2分）；低于80%（扣1.5分）；低于90%（扣1分）：低于100%（扣0.5分）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68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事件/业务处理时间达标率（3分）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运维实施过程中对业务或者监理交办事情/业务的处理及完成情况。达标率低于70%（扣3分）；低于80%（扣2分）；低于90%（扣1分）：低于100%（扣0.5分）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6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事件/业务完成率（已完成的事件（业务）数/事件（业务）总数）（5分）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运维实施过程中对业务或者监理交办事情/业务的完成率.达标率低于70%（扣5分）；低于80%（扣4分）；低于90%（扣3分）;低于95%（扣2分）；低于100%（扣1分）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9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例行型服务质量（5分）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巡检按时按质完成情况（2分）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含每天、每月各类系统巡检，一次违规扣1分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42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常规性作业按时完成率（3分）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含日志分析/清理、数据备份、更新密码、服务报告等。完成率低于70%（扣3分）；低于80%（扣2分）；低于90%（扣1分）：低于100%（扣0.5分）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30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运维工作产出物质量（10分）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周期性报告质量（5分）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包括周报、月报等，是否简洁清晰、重点突出、分析深入、建议合理。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10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非周期性报告质量（5分）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如事件/业务解决方案等，是否简洁清晰、重点突出、分析深入、建议合理。一个事件/业务单不提交事件/业务报告扣1分。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310" w:hRule="atLeast"/>
          <w:jc w:val="center"/>
        </w:trPr>
        <w:tc>
          <w:tcPr>
            <w:tcW w:w="9781" w:type="dxa"/>
            <w:gridSpan w:val="6"/>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p>
            <w:pPr>
              <w:pStyle w:val="2"/>
              <w:rPr>
                <w:rFonts w:ascii="宋体" w:hAnsi="宋体"/>
                <w:color w:val="000000" w:themeColor="text1"/>
                <w:sz w:val="22"/>
                <w:szCs w:val="22"/>
                <w:highlight w:val="none"/>
                <w14:textFill>
                  <w14:solidFill>
                    <w14:schemeClr w14:val="tx1"/>
                  </w14:solidFill>
                </w14:textFill>
              </w:rPr>
            </w:pPr>
          </w:p>
          <w:p>
            <w:pPr>
              <w:rPr>
                <w:rFonts w:ascii="宋体" w:hAnsi="宋体" w:eastAsia="宋体"/>
                <w:color w:val="000000" w:themeColor="text1"/>
                <w:sz w:val="22"/>
                <w:szCs w:val="22"/>
                <w:highlight w:val="none"/>
                <w14:textFill>
                  <w14:solidFill>
                    <w14:schemeClr w14:val="tx1"/>
                  </w14:solidFill>
                </w14:textFill>
              </w:rPr>
            </w:pPr>
          </w:p>
          <w:p>
            <w:pPr>
              <w:pStyle w:val="2"/>
              <w:rPr>
                <w:rFonts w:ascii="宋体" w:hAnsi="宋体"/>
                <w:color w:val="000000" w:themeColor="text1"/>
                <w:sz w:val="22"/>
                <w:szCs w:val="22"/>
                <w:highlight w:val="none"/>
                <w14:textFill>
                  <w14:solidFill>
                    <w14:schemeClr w14:val="tx1"/>
                  </w14:solidFill>
                </w14:textFill>
              </w:rPr>
            </w:pPr>
          </w:p>
          <w:p>
            <w:pPr>
              <w:rPr>
                <w:rFonts w:ascii="宋体" w:hAnsi="宋体" w:eastAsia="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0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考核分值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考核人</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得分</w:t>
            </w:r>
          </w:p>
        </w:tc>
        <w:tc>
          <w:tcPr>
            <w:tcW w:w="51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二、运维服务合规性</w:t>
            </w:r>
          </w:p>
        </w:tc>
      </w:tr>
      <w:tr>
        <w:tblPrEx>
          <w:tblCellMar>
            <w:top w:w="0" w:type="dxa"/>
            <w:left w:w="108" w:type="dxa"/>
            <w:bottom w:w="0" w:type="dxa"/>
            <w:right w:w="108" w:type="dxa"/>
          </w:tblCellMar>
        </w:tblPrEx>
        <w:trPr>
          <w:trHeight w:val="72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25分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51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cs="宋体"/>
                <w:b/>
                <w:bCs/>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一级指标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二级指标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三级指标</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指标说明</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评分说明</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考核得分</w:t>
            </w:r>
          </w:p>
        </w:tc>
      </w:tr>
      <w:tr>
        <w:tblPrEx>
          <w:tblCellMar>
            <w:top w:w="0" w:type="dxa"/>
            <w:left w:w="108" w:type="dxa"/>
            <w:bottom w:w="0" w:type="dxa"/>
            <w:right w:w="108" w:type="dxa"/>
          </w:tblCellMar>
        </w:tblPrEx>
        <w:trPr>
          <w:trHeight w:val="1120"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运维服务合规性（25分）</w:t>
            </w:r>
          </w:p>
        </w:tc>
        <w:tc>
          <w:tcPr>
            <w:tcW w:w="15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制度完善情况（9分）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积极主动配合执行运维管理规范和绩效管理规范（3分）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消极怠工，被用户投诉一次扣1分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项目组内部岗位职责明确，权责清晰（3分）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按照岗位工作职责执行岗位工作，违规一次扣1分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根据运维需要，提供相应的运维制度（3分）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提供多份得分不超过3分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制度执行情况（8分）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事件/业务记录的完成性和规范性（2分）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缺少记录一个扣0.5分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960" w:hRule="atLeast"/>
          <w:jc w:val="center"/>
        </w:trPr>
        <w:tc>
          <w:tcPr>
            <w:tcW w:w="1230"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日常考勤情况（6分）</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驻场人员总出勤率低于85%（扣6分）低于90%（扣5分）低于95%（扣4分）低于98%（扣3分）低于99%（扣2分）低于100%（扣1分）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变更管理执行情况（8分）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变更实施成功率（变更成功数/变更总数</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在公布事件/业务内完成变更</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2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加分项（配置管理流程合规性）</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配置资产与事件关联</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及时更新资产或配置信息</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134" w:hRule="atLeast"/>
          <w:jc w:val="center"/>
        </w:trPr>
        <w:tc>
          <w:tcPr>
            <w:tcW w:w="9781" w:type="dxa"/>
            <w:gridSpan w:val="6"/>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考核分值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考核人</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得分</w:t>
            </w:r>
          </w:p>
        </w:tc>
        <w:tc>
          <w:tcPr>
            <w:tcW w:w="51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b/>
                <w:bCs/>
                <w:color w:val="000000" w:themeColor="text1"/>
                <w:sz w:val="28"/>
                <w:szCs w:val="28"/>
                <w:highlight w:val="none"/>
                <w14:textFill>
                  <w14:solidFill>
                    <w14:schemeClr w14:val="tx1"/>
                  </w14:solidFill>
                </w14:textFill>
              </w:rPr>
            </w:pPr>
            <w:r>
              <w:rPr>
                <w:rFonts w:ascii="宋体" w:hAnsi="宋体" w:eastAsia="宋体"/>
                <w:b/>
                <w:bCs/>
                <w:color w:val="000000" w:themeColor="text1"/>
                <w:kern w:val="0"/>
                <w:sz w:val="28"/>
                <w:szCs w:val="28"/>
                <w:highlight w:val="none"/>
                <w14:textFill>
                  <w14:solidFill>
                    <w14:schemeClr w14:val="tx1"/>
                  </w14:solidFill>
                </w14:textFill>
              </w:rPr>
              <w:t>三、客户满意度</w:t>
            </w:r>
          </w:p>
        </w:tc>
      </w:tr>
      <w:tr>
        <w:tblPrEx>
          <w:tblCellMar>
            <w:top w:w="0" w:type="dxa"/>
            <w:left w:w="108" w:type="dxa"/>
            <w:bottom w:w="0" w:type="dxa"/>
            <w:right w:w="108" w:type="dxa"/>
          </w:tblCellMar>
        </w:tblPrEx>
        <w:trPr>
          <w:trHeight w:val="58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20分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51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b/>
                <w:bCs/>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一级指标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二级指标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三级指标</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指标说明</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评分说明</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考核得分</w:t>
            </w:r>
          </w:p>
        </w:tc>
      </w:tr>
      <w:tr>
        <w:tblPrEx>
          <w:tblCellMar>
            <w:top w:w="0" w:type="dxa"/>
            <w:left w:w="108" w:type="dxa"/>
            <w:bottom w:w="0" w:type="dxa"/>
            <w:right w:w="108" w:type="dxa"/>
          </w:tblCellMar>
        </w:tblPrEx>
        <w:trPr>
          <w:trHeight w:val="840"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机房网络运维客户满意度（20分）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事件/业务问题解决满意度（5分）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事件/业务与问题解决满意度</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满分5分</w:t>
            </w:r>
          </w:p>
        </w:tc>
        <w:tc>
          <w:tcPr>
            <w:tcW w:w="1793" w:type="dxa"/>
            <w:vMerge w:val="restart"/>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宋体" w:hAnsi="宋体" w:eastAsia="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olor w:val="000000" w:themeColor="text1"/>
                <w:kern w:val="0"/>
                <w:sz w:val="22"/>
                <w:szCs w:val="22"/>
                <w:highlight w:val="none"/>
                <w14:textFill>
                  <w14:solidFill>
                    <w14:schemeClr w14:val="tx1"/>
                  </w14:solidFill>
                </w14:textFill>
              </w:rPr>
            </w:pPr>
          </w:p>
          <w:p>
            <w:pPr>
              <w:widowControl/>
              <w:jc w:val="center"/>
              <w:textAlignment w:val="top"/>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客户满意度得分依据实际情况由客户进行考评。</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工程师技术能力满意度（5分）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工程师技术娴熟能力评估</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满分5分</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6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工程师服务态度（5分）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协作性、责任心、积极性等</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满分5分</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112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工程师解决事件/业务后向用户陈述说明（5分）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书面/口头陈述</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出现用户投诉未陈述说明（每次扣1分）</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00"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加分指标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书面嘉奖</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每次书面奖励加1分</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6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扣分指标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投诉</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每次书面邮件通报扣1分</w:t>
            </w:r>
          </w:p>
        </w:tc>
        <w:tc>
          <w:tcPr>
            <w:tcW w:w="1793"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34" w:hRule="atLeast"/>
          <w:jc w:val="center"/>
        </w:trPr>
        <w:tc>
          <w:tcPr>
            <w:tcW w:w="9781" w:type="dxa"/>
            <w:gridSpan w:val="6"/>
            <w:tcBorders>
              <w:top w:val="nil"/>
              <w:left w:val="nil"/>
              <w:bottom w:val="nil"/>
              <w:right w:val="nil"/>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考核分值</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考核人</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得分</w:t>
            </w:r>
          </w:p>
        </w:tc>
        <w:tc>
          <w:tcPr>
            <w:tcW w:w="51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b/>
                <w:bCs/>
                <w:color w:val="000000" w:themeColor="text1"/>
                <w:sz w:val="28"/>
                <w:szCs w:val="28"/>
                <w:highlight w:val="none"/>
                <w14:textFill>
                  <w14:solidFill>
                    <w14:schemeClr w14:val="tx1"/>
                  </w14:solidFill>
                </w14:textFill>
              </w:rPr>
            </w:pPr>
            <w:r>
              <w:rPr>
                <w:rFonts w:ascii="宋体" w:hAnsi="宋体" w:eastAsia="宋体"/>
                <w:b/>
                <w:bCs/>
                <w:color w:val="000000" w:themeColor="text1"/>
                <w:kern w:val="0"/>
                <w:sz w:val="28"/>
                <w:szCs w:val="28"/>
                <w:highlight w:val="none"/>
                <w14:textFill>
                  <w14:solidFill>
                    <w14:schemeClr w14:val="tx1"/>
                  </w14:solidFill>
                </w14:textFill>
              </w:rPr>
              <w:t>四、能力与可持续性</w:t>
            </w:r>
          </w:p>
        </w:tc>
      </w:tr>
      <w:tr>
        <w:tblPrEx>
          <w:tblCellMar>
            <w:top w:w="0" w:type="dxa"/>
            <w:left w:w="108" w:type="dxa"/>
            <w:bottom w:w="0" w:type="dxa"/>
            <w:right w:w="108" w:type="dxa"/>
          </w:tblCellMar>
        </w:tblPrEx>
        <w:trPr>
          <w:trHeight w:val="80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5分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51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eastAsia="宋体"/>
                <w:b/>
                <w:bCs/>
                <w:color w:val="000000" w:themeColor="text1"/>
                <w:sz w:val="28"/>
                <w:szCs w:val="28"/>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一级指标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二级指标</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三级指标</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指标说明</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评分说明</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考核得分</w:t>
            </w:r>
          </w:p>
        </w:tc>
      </w:tr>
      <w:tr>
        <w:tblPrEx>
          <w:tblCellMar>
            <w:top w:w="0" w:type="dxa"/>
            <w:left w:w="108" w:type="dxa"/>
            <w:bottom w:w="0" w:type="dxa"/>
            <w:right w:w="108" w:type="dxa"/>
          </w:tblCellMar>
        </w:tblPrEx>
        <w:trPr>
          <w:trHeight w:val="1680" w:hRule="atLeast"/>
          <w:jc w:val="center"/>
        </w:trPr>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能力与可持续性（5分）</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符合合同要求人员比例（2分）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符合要求实际驻场人数/合同要求人数</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比例低于70%（扣2分）；比例低于80%（扣1.5分）；比例低于90%（扣1分）；比例低于100%（扣0.5分）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关键员工流失/人员变更（1分）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人员流失（变更）人/次数</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人员流失或变更（扣1分/人/次）</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人员业务水平（1分）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工程师对业务的熟悉程度、相关知识掌握程度</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出现误操作事件（扣1分/人/次）</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项目组成员工作满意度（1分）</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能力、技术、态度满意度</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客户投诉（1分/次），口头警告（0.5分/次）</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40" w:hRule="atLeast"/>
          <w:jc w:val="center"/>
        </w:trPr>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kern w:val="0"/>
                <w:sz w:val="20"/>
                <w:szCs w:val="20"/>
                <w:highlight w:val="none"/>
                <w14:textFill>
                  <w14:solidFill>
                    <w14:schemeClr w14:val="tx1"/>
                  </w14:solidFill>
                </w14:textFill>
              </w:rPr>
              <w:t>加分项（学习与成长）</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0"/>
                <w:szCs w:val="20"/>
                <w:highlight w:val="none"/>
                <w14:textFill>
                  <w14:solidFill>
                    <w14:schemeClr w14:val="tx1"/>
                  </w14:solidFill>
                </w14:textFill>
              </w:rPr>
            </w:pPr>
            <w:r>
              <w:rPr>
                <w:rFonts w:ascii="宋体" w:hAnsi="宋体" w:eastAsia="宋体"/>
                <w:color w:val="000000" w:themeColor="text1"/>
                <w:kern w:val="0"/>
                <w:sz w:val="20"/>
                <w:szCs w:val="20"/>
                <w:highlight w:val="none"/>
                <w14:textFill>
                  <w14:solidFill>
                    <w14:schemeClr w14:val="tx1"/>
                  </w14:solidFill>
                </w14:textFill>
              </w:rPr>
              <w:t xml:space="preserve"> 内部技术培训次数（需提供培训记录）</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需提供培训记录；培训签到表、培训记录（1次得1分）</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olor w:val="000000" w:themeColor="text1"/>
                <w:sz w:val="22"/>
                <w:szCs w:val="22"/>
                <w:highlight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80" w:hRule="atLeast"/>
          <w:jc w:val="center"/>
        </w:trPr>
        <w:tc>
          <w:tcPr>
            <w:tcW w:w="1230" w:type="dxa"/>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tc>
        <w:tc>
          <w:tcPr>
            <w:tcW w:w="2931" w:type="dxa"/>
            <w:gridSpan w:val="2"/>
            <w:tcBorders>
              <w:top w:val="nil"/>
              <w:left w:val="nil"/>
              <w:bottom w:val="nil"/>
              <w:right w:val="nil"/>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XXXXXXXX(考核单位)</w:t>
            </w:r>
          </w:p>
        </w:tc>
      </w:tr>
      <w:tr>
        <w:tblPrEx>
          <w:tblCellMar>
            <w:top w:w="0" w:type="dxa"/>
            <w:left w:w="108" w:type="dxa"/>
            <w:bottom w:w="0" w:type="dxa"/>
            <w:right w:w="108" w:type="dxa"/>
          </w:tblCellMar>
        </w:tblPrEx>
        <w:trPr>
          <w:trHeight w:val="280" w:hRule="atLeast"/>
          <w:jc w:val="center"/>
        </w:trPr>
        <w:tc>
          <w:tcPr>
            <w:tcW w:w="1230" w:type="dxa"/>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tc>
        <w:tc>
          <w:tcPr>
            <w:tcW w:w="1563" w:type="dxa"/>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tc>
        <w:tc>
          <w:tcPr>
            <w:tcW w:w="1816" w:type="dxa"/>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tc>
        <w:tc>
          <w:tcPr>
            <w:tcW w:w="2241" w:type="dxa"/>
            <w:tcBorders>
              <w:top w:val="nil"/>
              <w:left w:val="nil"/>
              <w:bottom w:val="nil"/>
              <w:right w:val="nil"/>
            </w:tcBorders>
            <w:noWrap w:val="0"/>
            <w:vAlign w:val="center"/>
          </w:tcPr>
          <w:p>
            <w:pPr>
              <w:rPr>
                <w:rFonts w:ascii="宋体" w:hAnsi="宋体" w:eastAsia="宋体"/>
                <w:color w:val="000000" w:themeColor="text1"/>
                <w:sz w:val="22"/>
                <w:szCs w:val="22"/>
                <w:highlight w:val="none"/>
                <w14:textFill>
                  <w14:solidFill>
                    <w14:schemeClr w14:val="tx1"/>
                  </w14:solidFill>
                </w14:textFill>
              </w:rPr>
            </w:pPr>
          </w:p>
        </w:tc>
        <w:tc>
          <w:tcPr>
            <w:tcW w:w="2931" w:type="dxa"/>
            <w:gridSpan w:val="2"/>
            <w:tcBorders>
              <w:top w:val="nil"/>
              <w:left w:val="nil"/>
              <w:bottom w:val="nil"/>
              <w:right w:val="nil"/>
            </w:tcBorders>
            <w:noWrap w:val="0"/>
            <w:vAlign w:val="center"/>
          </w:tcPr>
          <w:p>
            <w:pPr>
              <w:widowControl/>
              <w:jc w:val="center"/>
              <w:textAlignment w:val="center"/>
              <w:rPr>
                <w:rFonts w:ascii="宋体" w:hAnsi="宋体" w:eastAsia="宋体"/>
                <w:color w:val="000000" w:themeColor="text1"/>
                <w:sz w:val="22"/>
                <w:szCs w:val="22"/>
                <w:highlight w:val="none"/>
                <w14:textFill>
                  <w14:solidFill>
                    <w14:schemeClr w14:val="tx1"/>
                  </w14:solidFill>
                </w14:textFill>
              </w:rPr>
            </w:pPr>
            <w:r>
              <w:rPr>
                <w:rFonts w:ascii="宋体" w:hAnsi="宋体" w:eastAsia="宋体"/>
                <w:color w:val="000000" w:themeColor="text1"/>
                <w:kern w:val="0"/>
                <w:sz w:val="22"/>
                <w:szCs w:val="22"/>
                <w:highlight w:val="none"/>
                <w14:textFill>
                  <w14:solidFill>
                    <w14:schemeClr w14:val="tx1"/>
                  </w14:solidFill>
                </w14:textFill>
              </w:rPr>
              <w:t>XXXX年XX月XX日</w:t>
            </w:r>
          </w:p>
        </w:tc>
      </w:tr>
    </w:tbl>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p>
    <w:p>
      <w:pPr>
        <w:pStyle w:val="9"/>
        <w:spacing w:line="360" w:lineRule="auto"/>
        <w:ind w:left="76" w:leftChars="36" w:firstLine="480"/>
        <w:outlineLvl w:val="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（二）运维服务的考核及相应违约责任：</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1.按时通过项目终验</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经监理方及外部专家评审确认，确系乙方原因造成本合同的项目未能按时验收的，乙方应按合同总价20%的标准向甲方支付违约金，并赔偿由此给甲方造成的损失。</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2.按时通过合同验收</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经监理方确认，确系因乙方原因造成合同未能按时验收的，乙方按合同总价10%的标准向甲方支付违约金，并赔偿由此给甲方造成的损失。</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3.按工作进度实施</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因乙方运维服务工作懈怠和失误造成项目未按照项目计划开展，出现每阶段性延误的，每阶段按每延迟一天乙方按照¥200元的标准向甲方支付违约金，并赔偿由此给甲方造成的损失。</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4.满足服务质量规定</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经监理方确认，因乙方服务质量问题导致项目未能满足项目实施要求所定指标的，甲方有权按每项¥500元扣减违约金，并要求乙方赔偿由此给甲方造成的损失。</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5.演练考核</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考核中每出现一人次错误，乙方应按照¥500元的标准向甲方支付违约金，并赔偿由此给甲方造成的损失。</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6.按要求提交工作产出物</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经监理方确认，甲方核实，确系乙方运维服务工作失误造成未按项目实施要求规定提交合格产出物（文档除外）的，乙方应按每件¥1000元的标准向甲方支付违约金，并扣减该产出物对应部分工作报酬。</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7.驻场工作纪律</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运维驻场人员因违反甲方指定驻场场地工作纪律，而造成甲方损失的，按甲方现有驻场管理办法处置。</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8.提交工作文档</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经监理方确认，甲方核实，未按要求提交工作文档的，乙方应按每件¥500元的标准向甲方支付违约金，甲方有权扣减该产出物对应部分工作报酬并要求乙方赔偿由此给甲方造成的损失。</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9.保密规定</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r>
        <w:rPr>
          <w:rFonts w:ascii="宋体" w:hAnsi="宋体" w:eastAsia="宋体"/>
          <w:bCs/>
          <w:color w:val="000000" w:themeColor="text1"/>
          <w:sz w:val="24"/>
          <w:highlight w:val="none"/>
          <w14:textFill>
            <w14:solidFill>
              <w14:schemeClr w14:val="tx1"/>
            </w14:solidFill>
          </w14:textFill>
        </w:rPr>
        <w:t>如乙方违反《保密协议》规定的，按《保密协议》承担相应责任。</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p>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十二、信息安全及保密要求</w:t>
      </w:r>
    </w:p>
    <w:p>
      <w:pPr>
        <w:pStyle w:val="12"/>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一）中标人应严格遵守信息安全方面的规定，自觉保守信息资源秘密。项目成果以及采购人为方便项目实施所提供给中标人的相关资料文档，实施过程中所产生的资料、文档、数据、相关附属品均属于信息资源，中标人应保证这些信息在项目期间及项目完成后规定时间内的安全。中标人应建立并实际运行项目进展期间的信息安全管理规范，以确保项目启动、实施及完成后的信息安全。</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（二）非经采购人书面许可，中标人不得以任何形式泄漏以上材料。因中标人原因导致上述资料、文档、数据安全受到威胁的，采购人有权要求中标人采取措施消除影响，并赔偿</w:t>
      </w:r>
      <w:r>
        <w:rPr>
          <w:rFonts w:hint="eastAsia" w:ascii="宋体" w:hAnsi="宋体" w:eastAsia="宋体"/>
          <w:color w:val="000000" w:themeColor="text1"/>
          <w:sz w:val="24"/>
          <w:highlight w:val="none"/>
          <w14:textFill>
            <w14:solidFill>
              <w14:schemeClr w14:val="tx1"/>
            </w14:solidFill>
          </w14:textFill>
        </w:rPr>
        <w:t>全部</w:t>
      </w:r>
      <w:r>
        <w:rPr>
          <w:rFonts w:ascii="宋体" w:hAnsi="宋体" w:eastAsia="宋体"/>
          <w:color w:val="000000" w:themeColor="text1"/>
          <w:sz w:val="24"/>
          <w:highlight w:val="none"/>
          <w14:textFill>
            <w14:solidFill>
              <w14:schemeClr w14:val="tx1"/>
            </w14:solidFill>
          </w14:textFill>
        </w:rPr>
        <w:t>损失。</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（三）中标人要承担合同履行时所要尽的一切保密义务。中标人对项目实施过程中的资料、数据进行保密，未经采购人书面同意不得泄露，且保密责任不因合同的终止或解除而失效。</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p>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十三、验收要求</w:t>
      </w:r>
    </w:p>
    <w:p>
      <w:pPr>
        <w:pStyle w:val="13"/>
        <w:autoSpaceDE w:val="0"/>
        <w:autoSpaceDN w:val="0"/>
        <w:adjustRightInd w:val="0"/>
        <w:spacing w:line="360" w:lineRule="auto"/>
        <w:ind w:firstLine="600" w:firstLineChars="250"/>
        <w:rPr>
          <w:rFonts w:ascii="宋体" w:hAnsi="宋体"/>
          <w:bCs/>
          <w:color w:val="000000" w:themeColor="text1"/>
          <w:kern w:val="0"/>
          <w:sz w:val="24"/>
          <w:szCs w:val="24"/>
          <w:highlight w:val="none"/>
          <w14:textFill>
            <w14:solidFill>
              <w14:schemeClr w14:val="tx1"/>
            </w14:solidFill>
          </w14:textFill>
        </w:rPr>
      </w:pPr>
      <w:r>
        <w:rPr>
          <w:rFonts w:ascii="宋体" w:hAnsi="宋体"/>
          <w:bCs/>
          <w:color w:val="000000" w:themeColor="text1"/>
          <w:kern w:val="0"/>
          <w:sz w:val="24"/>
          <w:szCs w:val="24"/>
          <w:highlight w:val="none"/>
          <w14:textFill>
            <w14:solidFill>
              <w14:schemeClr w14:val="tx1"/>
            </w14:solidFill>
          </w14:textFill>
        </w:rPr>
        <w:t>运维服务期满，本项目（合同）应通过采购人组织的本项目（合同）验收，包括：</w:t>
      </w:r>
    </w:p>
    <w:p>
      <w:pPr>
        <w:pStyle w:val="13"/>
        <w:autoSpaceDE w:val="0"/>
        <w:autoSpaceDN w:val="0"/>
        <w:adjustRightInd w:val="0"/>
        <w:spacing w:line="360" w:lineRule="auto"/>
        <w:ind w:firstLine="360" w:firstLineChars="150"/>
        <w:rPr>
          <w:rFonts w:ascii="宋体" w:hAnsi="宋体"/>
          <w:bCs/>
          <w:color w:val="000000" w:themeColor="text1"/>
          <w:kern w:val="0"/>
          <w:sz w:val="24"/>
          <w:szCs w:val="24"/>
          <w:highlight w:val="none"/>
          <w14:textFill>
            <w14:solidFill>
              <w14:schemeClr w14:val="tx1"/>
            </w14:solidFill>
          </w14:textFill>
        </w:rPr>
      </w:pPr>
      <w:r>
        <w:rPr>
          <w:rFonts w:ascii="宋体" w:hAnsi="宋体"/>
          <w:bCs/>
          <w:color w:val="000000" w:themeColor="text1"/>
          <w:kern w:val="0"/>
          <w:sz w:val="24"/>
          <w:szCs w:val="24"/>
          <w:highlight w:val="none"/>
          <w14:textFill>
            <w14:solidFill>
              <w14:schemeClr w14:val="tx1"/>
            </w14:solidFill>
          </w14:textFill>
        </w:rPr>
        <w:t>（一）完成招标文件规定的工作和任务，服务质量达标；</w:t>
      </w:r>
    </w:p>
    <w:p>
      <w:pPr>
        <w:pStyle w:val="13"/>
        <w:autoSpaceDE w:val="0"/>
        <w:autoSpaceDN w:val="0"/>
        <w:adjustRightInd w:val="0"/>
        <w:spacing w:line="360" w:lineRule="auto"/>
        <w:ind w:firstLine="360" w:firstLineChars="150"/>
        <w:rPr>
          <w:rFonts w:ascii="宋体" w:hAnsi="宋体"/>
          <w:bCs/>
          <w:color w:val="000000" w:themeColor="text1"/>
          <w:kern w:val="0"/>
          <w:sz w:val="24"/>
          <w:szCs w:val="24"/>
          <w:highlight w:val="none"/>
          <w14:textFill>
            <w14:solidFill>
              <w14:schemeClr w14:val="tx1"/>
            </w14:solidFill>
          </w14:textFill>
        </w:rPr>
      </w:pPr>
      <w:r>
        <w:rPr>
          <w:rFonts w:ascii="宋体" w:hAnsi="宋体"/>
          <w:bCs/>
          <w:color w:val="000000" w:themeColor="text1"/>
          <w:kern w:val="0"/>
          <w:sz w:val="24"/>
          <w:szCs w:val="24"/>
          <w:highlight w:val="none"/>
          <w14:textFill>
            <w14:solidFill>
              <w14:schemeClr w14:val="tx1"/>
            </w14:solidFill>
          </w14:textFill>
        </w:rPr>
        <w:t>（二）文档齐全，完成运维服务的过程文档和报告，根据要求交付相关成果；</w:t>
      </w:r>
    </w:p>
    <w:p>
      <w:pPr>
        <w:pStyle w:val="13"/>
        <w:autoSpaceDE w:val="0"/>
        <w:autoSpaceDN w:val="0"/>
        <w:adjustRightInd w:val="0"/>
        <w:spacing w:line="360" w:lineRule="auto"/>
        <w:ind w:firstLine="360" w:firstLineChars="150"/>
        <w:rPr>
          <w:rFonts w:ascii="宋体" w:hAnsi="宋体"/>
          <w:bCs/>
          <w:color w:val="000000" w:themeColor="text1"/>
          <w:kern w:val="0"/>
          <w:sz w:val="24"/>
          <w:szCs w:val="24"/>
          <w:highlight w:val="none"/>
          <w14:textFill>
            <w14:solidFill>
              <w14:schemeClr w14:val="tx1"/>
            </w14:solidFill>
          </w14:textFill>
        </w:rPr>
      </w:pPr>
      <w:r>
        <w:rPr>
          <w:rFonts w:ascii="宋体" w:hAnsi="宋体"/>
          <w:bCs/>
          <w:color w:val="000000" w:themeColor="text1"/>
          <w:kern w:val="0"/>
          <w:sz w:val="24"/>
          <w:szCs w:val="24"/>
          <w:highlight w:val="none"/>
          <w14:textFill>
            <w14:solidFill>
              <w14:schemeClr w14:val="tx1"/>
            </w14:solidFill>
          </w14:textFill>
        </w:rPr>
        <w:t>（三）通过采购人组织的</w:t>
      </w:r>
      <w:r>
        <w:rPr>
          <w:rFonts w:hint="eastAsia" w:ascii="宋体" w:hAnsi="宋体"/>
          <w:bCs/>
          <w:color w:val="000000" w:themeColor="text1"/>
          <w:kern w:val="0"/>
          <w:sz w:val="24"/>
          <w:szCs w:val="24"/>
          <w:highlight w:val="none"/>
          <w14:textFill>
            <w14:solidFill>
              <w14:schemeClr w14:val="tx1"/>
            </w14:solidFill>
          </w14:textFill>
        </w:rPr>
        <w:t>项目（合同）</w:t>
      </w:r>
      <w:r>
        <w:rPr>
          <w:rFonts w:ascii="宋体" w:hAnsi="宋体"/>
          <w:bCs/>
          <w:color w:val="000000" w:themeColor="text1"/>
          <w:kern w:val="0"/>
          <w:sz w:val="24"/>
          <w:szCs w:val="24"/>
          <w:highlight w:val="none"/>
          <w14:textFill>
            <w14:solidFill>
              <w14:schemeClr w14:val="tx1"/>
            </w14:solidFill>
          </w14:textFill>
        </w:rPr>
        <w:t>验收；</w:t>
      </w:r>
    </w:p>
    <w:p>
      <w:pPr>
        <w:pStyle w:val="13"/>
        <w:autoSpaceDE w:val="0"/>
        <w:autoSpaceDN w:val="0"/>
        <w:adjustRightInd w:val="0"/>
        <w:spacing w:line="360" w:lineRule="auto"/>
        <w:ind w:firstLine="360" w:firstLineChars="150"/>
        <w:rPr>
          <w:rFonts w:ascii="宋体" w:hAnsi="宋体"/>
          <w:bCs/>
          <w:color w:val="000000" w:themeColor="text1"/>
          <w:kern w:val="0"/>
          <w:sz w:val="24"/>
          <w:szCs w:val="24"/>
          <w:highlight w:val="none"/>
          <w14:textFill>
            <w14:solidFill>
              <w14:schemeClr w14:val="tx1"/>
            </w14:solidFill>
          </w14:textFill>
        </w:rPr>
      </w:pPr>
      <w:r>
        <w:rPr>
          <w:rFonts w:ascii="宋体" w:hAnsi="宋体"/>
          <w:bCs/>
          <w:color w:val="000000" w:themeColor="text1"/>
          <w:kern w:val="0"/>
          <w:sz w:val="24"/>
          <w:szCs w:val="24"/>
          <w:highlight w:val="none"/>
          <w14:textFill>
            <w14:solidFill>
              <w14:schemeClr w14:val="tx1"/>
            </w14:solidFill>
          </w14:textFill>
        </w:rPr>
        <w:t>（四）具体验收规范以市政务信息化项目管理相关规定的验收规范和要求为准。</w:t>
      </w:r>
    </w:p>
    <w:p>
      <w:pPr>
        <w:pStyle w:val="13"/>
        <w:autoSpaceDE w:val="0"/>
        <w:autoSpaceDN w:val="0"/>
        <w:adjustRightInd w:val="0"/>
        <w:spacing w:line="360" w:lineRule="auto"/>
        <w:ind w:firstLine="600" w:firstLineChars="250"/>
        <w:rPr>
          <w:rFonts w:ascii="宋体" w:hAnsi="宋体"/>
          <w:bCs/>
          <w:color w:val="000000" w:themeColor="text1"/>
          <w:kern w:val="0"/>
          <w:sz w:val="24"/>
          <w:szCs w:val="24"/>
          <w:highlight w:val="none"/>
          <w14:textFill>
            <w14:solidFill>
              <w14:schemeClr w14:val="tx1"/>
            </w14:solidFill>
          </w14:textFill>
        </w:rPr>
      </w:pPr>
      <w:r>
        <w:rPr>
          <w:rFonts w:hint="eastAsia" w:ascii="宋体" w:hAnsi="宋体"/>
          <w:bCs/>
          <w:color w:val="000000" w:themeColor="text1"/>
          <w:kern w:val="0"/>
          <w:sz w:val="24"/>
          <w:szCs w:val="24"/>
          <w:highlight w:val="none"/>
          <w14:textFill>
            <w14:solidFill>
              <w14:schemeClr w14:val="tx1"/>
            </w14:solidFill>
          </w14:textFill>
        </w:rPr>
        <w:t>中标人必须严格执行项目过程管控，确保运维服务质量达到验收标准，并通过项目（合同）验收。若因中标人原因影响本项目（合同）验收的，中标方除需自行承担返工整改和再次组织专家评审的费用外，同时要支付违约金（未通过项目终验：按合同总价20%收取违约金；未通过合同验收：按合同总价10%收取违约金），违约金不足以弥补采购人损失的，采购人有权继续追偿</w:t>
      </w:r>
      <w:r>
        <w:rPr>
          <w:rFonts w:ascii="宋体" w:hAnsi="宋体"/>
          <w:bCs/>
          <w:color w:val="000000" w:themeColor="text1"/>
          <w:kern w:val="0"/>
          <w:sz w:val="24"/>
          <w:szCs w:val="24"/>
          <w:highlight w:val="none"/>
          <w14:textFill>
            <w14:solidFill>
              <w14:schemeClr w14:val="tx1"/>
            </w14:solidFill>
          </w14:textFill>
        </w:rPr>
        <w:t>。</w:t>
      </w:r>
    </w:p>
    <w:p>
      <w:pPr>
        <w:spacing w:line="360" w:lineRule="auto"/>
        <w:ind w:firstLine="506" w:firstLineChars="210"/>
        <w:rPr>
          <w:rFonts w:ascii="宋体" w:hAnsi="宋体" w:eastAsia="宋体"/>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十四、培训</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bookmarkStart w:id="1" w:name="_Toc160611411"/>
      <w:bookmarkStart w:id="2" w:name="_Toc173843945"/>
      <w:bookmarkStart w:id="3" w:name="_Toc203984989"/>
      <w:bookmarkStart w:id="4" w:name="_Toc203188579"/>
      <w:bookmarkStart w:id="5" w:name="_Toc173830529"/>
      <w:bookmarkStart w:id="6" w:name="_Toc153682297"/>
      <w:bookmarkStart w:id="7" w:name="_Toc203534316"/>
      <w:bookmarkStart w:id="8" w:name="_Toc200540147"/>
      <w:bookmarkStart w:id="9" w:name="_Toc173830632"/>
      <w:bookmarkStart w:id="10" w:name="_Toc173843270"/>
      <w:bookmarkStart w:id="11" w:name="_Toc357522403"/>
      <w:bookmarkStart w:id="12" w:name="_Toc130888339"/>
      <w:bookmarkStart w:id="13" w:name="_Toc317973771"/>
      <w:bookmarkStart w:id="14" w:name="_Toc246231365"/>
      <w:bookmarkStart w:id="15" w:name="_Toc133653781"/>
      <w:bookmarkStart w:id="16" w:name="_Toc153656598"/>
      <w:bookmarkStart w:id="17" w:name="_Toc405900447"/>
      <w:bookmarkStart w:id="18" w:name="_Toc213472581"/>
      <w:bookmarkStart w:id="19" w:name="_Toc212956826"/>
      <w:bookmarkStart w:id="20" w:name="_Toc176084451"/>
      <w:r>
        <w:rPr>
          <w:rFonts w:ascii="宋体" w:hAnsi="宋体" w:eastAsia="宋体"/>
          <w:color w:val="000000" w:themeColor="text1"/>
          <w:sz w:val="24"/>
          <w:highlight w:val="none"/>
          <w14:textFill>
            <w14:solidFill>
              <w14:schemeClr w14:val="tx1"/>
            </w14:solidFill>
          </w14:textFill>
        </w:rPr>
        <w:t>（一）目的</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宋体" w:hAnsi="宋体" w:eastAsia="宋体"/>
          <w:color w:val="000000" w:themeColor="text1"/>
          <w:sz w:val="24"/>
          <w:highlight w:val="none"/>
          <w14:textFill>
            <w14:solidFill>
              <w14:schemeClr w14:val="tx1"/>
            </w14:solidFill>
          </w14:textFill>
        </w:rPr>
        <w:t>：为顺利地实施项目咨询、体系建设和更好地配合和理解运维体系和流程；使采购人掌握对信息化系统的使用及维护。</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bookmarkStart w:id="21" w:name="_Toc173830530"/>
      <w:bookmarkStart w:id="22" w:name="_Toc153656599"/>
      <w:bookmarkStart w:id="23" w:name="_Toc160611412"/>
      <w:bookmarkStart w:id="24" w:name="_Toc173843946"/>
      <w:bookmarkStart w:id="25" w:name="_Toc173830633"/>
      <w:bookmarkStart w:id="26" w:name="_Toc133653782"/>
      <w:bookmarkStart w:id="27" w:name="_Toc173843271"/>
      <w:bookmarkStart w:id="28" w:name="_Toc153682298"/>
      <w:bookmarkStart w:id="29" w:name="_Toc212956827"/>
      <w:bookmarkStart w:id="30" w:name="_Toc357522404"/>
      <w:bookmarkStart w:id="31" w:name="_Toc203534317"/>
      <w:bookmarkStart w:id="32" w:name="_Toc405900448"/>
      <w:bookmarkStart w:id="33" w:name="_Toc203984990"/>
      <w:bookmarkStart w:id="34" w:name="_Toc246231366"/>
      <w:bookmarkStart w:id="35" w:name="_Toc317973772"/>
      <w:bookmarkStart w:id="36" w:name="_Toc200540148"/>
      <w:bookmarkStart w:id="37" w:name="_Toc203188580"/>
      <w:bookmarkStart w:id="38" w:name="_Toc213472582"/>
      <w:bookmarkStart w:id="39" w:name="_Toc176084452"/>
      <w:r>
        <w:rPr>
          <w:rFonts w:ascii="宋体" w:hAnsi="宋体" w:eastAsia="宋体"/>
          <w:color w:val="000000" w:themeColor="text1"/>
          <w:sz w:val="24"/>
          <w:highlight w:val="none"/>
          <w14:textFill>
            <w14:solidFill>
              <w14:schemeClr w14:val="tx1"/>
            </w14:solidFill>
          </w14:textFill>
        </w:rPr>
        <w:t>（二）培训</w:t>
      </w:r>
      <w:bookmarkEnd w:id="21"/>
      <w:bookmarkEnd w:id="22"/>
      <w:bookmarkEnd w:id="23"/>
      <w:bookmarkEnd w:id="24"/>
      <w:bookmarkEnd w:id="25"/>
      <w:bookmarkEnd w:id="26"/>
      <w:bookmarkEnd w:id="27"/>
      <w:bookmarkEnd w:id="28"/>
      <w:r>
        <w:rPr>
          <w:rFonts w:ascii="宋体" w:hAnsi="宋体" w:eastAsia="宋体"/>
          <w:color w:val="000000" w:themeColor="text1"/>
          <w:sz w:val="24"/>
          <w:highlight w:val="none"/>
          <w14:textFill>
            <w14:solidFill>
              <w14:schemeClr w14:val="tx1"/>
            </w14:solidFill>
          </w14:textFill>
        </w:rPr>
        <w:t>要求</w:t>
      </w:r>
      <w:bookmarkEnd w:id="29"/>
      <w:bookmarkEnd w:id="30"/>
      <w:bookmarkEnd w:id="31"/>
      <w:bookmarkEnd w:id="32"/>
      <w:bookmarkEnd w:id="33"/>
      <w:bookmarkEnd w:id="34"/>
      <w:bookmarkEnd w:id="35"/>
      <w:bookmarkEnd w:id="36"/>
      <w:bookmarkEnd w:id="37"/>
      <w:bookmarkEnd w:id="38"/>
      <w:bookmarkEnd w:id="39"/>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中标人在运维服务过程中</w:t>
      </w:r>
      <w:r>
        <w:rPr>
          <w:rFonts w:ascii="宋体" w:hAnsi="宋体" w:eastAsia="宋体"/>
          <w:color w:val="000000" w:themeColor="text1"/>
          <w:sz w:val="24"/>
          <w:highlight w:val="none"/>
          <w14:textFill>
            <w14:solidFill>
              <w14:schemeClr w14:val="tx1"/>
            </w14:solidFill>
          </w14:textFill>
        </w:rPr>
        <w:t>对系统管理员进行充分的技术培训，</w:t>
      </w:r>
      <w:r>
        <w:rPr>
          <w:rFonts w:hint="eastAsia" w:ascii="宋体" w:hAnsi="宋体" w:eastAsia="宋体"/>
          <w:color w:val="000000" w:themeColor="text1"/>
          <w:sz w:val="24"/>
          <w:highlight w:val="none"/>
          <w14:textFill>
            <w14:solidFill>
              <w14:schemeClr w14:val="tx1"/>
            </w14:solidFill>
          </w14:textFill>
        </w:rPr>
        <w:t>保证系统管理员掌握必要的技术、管理工具，通晓管理规范，系统管理员培训次数：至少1次；根据采购人需要，进行用户使用培训，用户使用培训次数：至少1次</w:t>
      </w:r>
      <w:r>
        <w:rPr>
          <w:rFonts w:ascii="宋体" w:hAnsi="宋体" w:eastAsia="宋体"/>
          <w:color w:val="000000" w:themeColor="text1"/>
          <w:sz w:val="24"/>
          <w:highlight w:val="none"/>
          <w14:textFill>
            <w14:solidFill>
              <w14:schemeClr w14:val="tx1"/>
            </w14:solidFill>
          </w14:textFill>
        </w:rPr>
        <w:t>。</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bookmarkStart w:id="40" w:name="_Toc200540149"/>
      <w:bookmarkStart w:id="41" w:name="_Toc203534318"/>
      <w:bookmarkStart w:id="42" w:name="_Toc357522405"/>
      <w:bookmarkStart w:id="43" w:name="_Toc203188581"/>
      <w:bookmarkStart w:id="44" w:name="_Toc213472583"/>
      <w:bookmarkStart w:id="45" w:name="_Toc212956828"/>
      <w:bookmarkStart w:id="46" w:name="_Toc317973773"/>
      <w:bookmarkStart w:id="47" w:name="_Toc405900449"/>
      <w:bookmarkStart w:id="48" w:name="_Toc203984991"/>
      <w:bookmarkStart w:id="49" w:name="_Toc246231367"/>
      <w:r>
        <w:rPr>
          <w:rFonts w:ascii="宋体" w:hAnsi="宋体" w:eastAsia="宋体"/>
          <w:color w:val="000000" w:themeColor="text1"/>
          <w:sz w:val="24"/>
          <w:highlight w:val="none"/>
          <w14:textFill>
            <w14:solidFill>
              <w14:schemeClr w14:val="tx1"/>
            </w14:solidFill>
          </w14:textFill>
        </w:rPr>
        <w:t>（三）培训师资</w:t>
      </w:r>
      <w:bookmarkEnd w:id="40"/>
      <w:bookmarkEnd w:id="41"/>
      <w:bookmarkEnd w:id="42"/>
      <w:bookmarkEnd w:id="43"/>
      <w:bookmarkEnd w:id="44"/>
      <w:bookmarkEnd w:id="45"/>
      <w:bookmarkEnd w:id="46"/>
      <w:bookmarkEnd w:id="47"/>
      <w:bookmarkEnd w:id="48"/>
      <w:bookmarkEnd w:id="49"/>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中标供应商派出具有相应专业资格的教员和相应的辅导人才。培训使用的语言和教材均为中文</w:t>
      </w:r>
      <w:r>
        <w:rPr>
          <w:rFonts w:ascii="宋体" w:hAnsi="宋体" w:eastAsia="宋体"/>
          <w:color w:val="000000" w:themeColor="text1"/>
          <w:sz w:val="24"/>
          <w:highlight w:val="none"/>
          <w14:textFill>
            <w14:solidFill>
              <w14:schemeClr w14:val="tx1"/>
            </w14:solidFill>
          </w14:textFill>
        </w:rPr>
        <w:t>。</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bookmarkStart w:id="50" w:name="_Toc213472585"/>
      <w:bookmarkStart w:id="51" w:name="_Toc176084455"/>
      <w:bookmarkStart w:id="52" w:name="_Toc246231369"/>
      <w:bookmarkStart w:id="53" w:name="_Toc212956830"/>
      <w:bookmarkStart w:id="54" w:name="_Toc203984993"/>
      <w:bookmarkStart w:id="55" w:name="_Toc203188583"/>
      <w:bookmarkStart w:id="56" w:name="_Toc203534320"/>
      <w:bookmarkStart w:id="57" w:name="_Toc357522407"/>
      <w:bookmarkStart w:id="58" w:name="_Toc317973775"/>
      <w:bookmarkStart w:id="59" w:name="_Toc200540151"/>
      <w:bookmarkStart w:id="60" w:name="_Toc405900451"/>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四</w:t>
      </w:r>
      <w:r>
        <w:rPr>
          <w:rFonts w:ascii="宋体" w:hAnsi="宋体" w:eastAsia="宋体"/>
          <w:color w:val="000000" w:themeColor="text1"/>
          <w:sz w:val="24"/>
          <w:highlight w:val="none"/>
          <w14:textFill>
            <w14:solidFill>
              <w14:schemeClr w14:val="tx1"/>
            </w14:solidFill>
          </w14:textFill>
        </w:rPr>
        <w:t>）费用</w:t>
      </w:r>
      <w:bookmarkEnd w:id="50"/>
      <w:bookmarkEnd w:id="51"/>
      <w:bookmarkEnd w:id="52"/>
      <w:bookmarkEnd w:id="53"/>
      <w:bookmarkEnd w:id="54"/>
      <w:bookmarkEnd w:id="55"/>
      <w:bookmarkEnd w:id="56"/>
      <w:bookmarkEnd w:id="57"/>
      <w:bookmarkEnd w:id="58"/>
      <w:bookmarkEnd w:id="59"/>
      <w:bookmarkEnd w:id="60"/>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投标人所有培训费用（含培训教材费）及各项支出费用计入投标总报价</w:t>
      </w:r>
      <w:r>
        <w:rPr>
          <w:rFonts w:ascii="宋体" w:hAnsi="宋体" w:eastAsia="宋体"/>
          <w:color w:val="000000" w:themeColor="text1"/>
          <w:sz w:val="24"/>
          <w:highlight w:val="none"/>
          <w14:textFill>
            <w14:solidFill>
              <w14:schemeClr w14:val="tx1"/>
            </w14:solidFill>
          </w14:textFill>
        </w:rPr>
        <w:t>。</w:t>
      </w:r>
    </w:p>
    <w:p>
      <w:pPr>
        <w:spacing w:line="360" w:lineRule="auto"/>
        <w:ind w:firstLine="504" w:firstLineChars="210"/>
        <w:rPr>
          <w:rFonts w:ascii="宋体" w:hAnsi="宋体" w:eastAsia="宋体"/>
          <w:color w:val="000000" w:themeColor="text1"/>
          <w:sz w:val="24"/>
          <w:highlight w:val="none"/>
          <w14:textFill>
            <w14:solidFill>
              <w14:schemeClr w14:val="tx1"/>
            </w14:solidFill>
          </w14:textFill>
        </w:rPr>
      </w:pPr>
    </w:p>
    <w:p>
      <w:p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十五、付款方式</w:t>
      </w:r>
    </w:p>
    <w:p>
      <w:pPr>
        <w:pStyle w:val="9"/>
        <w:spacing w:line="360" w:lineRule="auto"/>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1、首笔款：合同签订并且收到中标人开具的等额发票后5个工作日内办理支付手续，采购人向中标人支付合同总金额的30％； </w:t>
      </w:r>
    </w:p>
    <w:p>
      <w:pPr>
        <w:pStyle w:val="9"/>
        <w:spacing w:line="360" w:lineRule="auto"/>
        <w:ind w:firstLine="48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2、第二笔款：服务期开始之日起满   提交中期运维服务报告并通过中期评估/提交经甲方和监理方审核合格的中期运维服务报告，收到中标人开具的等额发票后 5 个工作日内办理支付手续，采购人向中标人支付合同总金额的50%，实际金额应根据合同相应条款扣除违约金及相关赔偿、费用后按实际支付；</w:t>
      </w:r>
    </w:p>
    <w:p>
      <w:pPr>
        <w:pStyle w:val="9"/>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3、尾款：服务期满并提交年度服务报告及项目总结，通过合同验收，收到中标人开具的等额发票后 5 个工作日内办理支付手续，采购人向中标人支付合同总金额的20%， 实际金额应根据合同相应条款扣除违约金及相关赔偿、费用后按实际支付。</w:t>
      </w:r>
    </w:p>
    <w:p>
      <w:pPr>
        <w:pStyle w:val="9"/>
        <w:spacing w:line="360" w:lineRule="auto"/>
        <w:ind w:firstLine="48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说明：</w:t>
      </w:r>
    </w:p>
    <w:p>
      <w:pPr>
        <w:pStyle w:val="9"/>
        <w:spacing w:line="360" w:lineRule="auto"/>
        <w:ind w:left="76" w:leftChars="36" w:firstLine="480"/>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项目所涉及经费为广州市政务信息化项目建设经费，付款时间需以收到财政经费为准。如因政府财政部门审查、财政支付管理流程及预算下达导致支付延期，或当年广州市财政投资安排经费不足以支付当期全额应付款时，采购人应先告知中标人情况及当期可支付金额，在中标人提供可支付金额的等额发票后支付等额费用予中标人，差额部分采购人应在收到财政经费后予以支付，采购人不承担违约责任，中标人不得以此为由迟延履行或不履行合同义务。</w:t>
      </w:r>
      <w:bookmarkStart w:id="61" w:name="_Toc364167997"/>
      <w:bookmarkEnd w:id="61"/>
      <w:bookmarkStart w:id="62" w:name="_Toc364167999"/>
      <w:bookmarkEnd w:id="62"/>
      <w:bookmarkStart w:id="63" w:name="_Toc364167998"/>
      <w:bookmarkEnd w:id="63"/>
      <w:bookmarkStart w:id="64" w:name="_Toc364168000"/>
      <w:bookmarkEnd w:id="64"/>
      <w:bookmarkStart w:id="65" w:name="_Toc364167996"/>
      <w:bookmarkEnd w:id="65"/>
    </w:p>
    <w:p>
      <w:pPr>
        <w:numPr>
          <w:ilvl w:val="0"/>
          <w:numId w:val="10"/>
        </w:numPr>
        <w:spacing w:line="360" w:lineRule="auto"/>
        <w:ind w:left="480"/>
        <w:outlineLvl w:val="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其他</w:t>
      </w:r>
    </w:p>
    <w:p>
      <w:pPr>
        <w:pStyle w:val="14"/>
        <w:adjustRightInd w:val="0"/>
        <w:snapToGrid w:val="0"/>
        <w:spacing w:before="0" w:after="0" w:line="440" w:lineRule="exact"/>
        <w:ind w:firstLine="480" w:firstLineChars="200"/>
        <w:outlineLvl w:val="9"/>
        <w:rPr>
          <w:rFonts w:ascii="宋体" w:hAnsi="宋体" w:cs="宋体"/>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t>★（一）</w:t>
      </w:r>
      <w:r>
        <w:rPr>
          <w:rFonts w:hint="eastAsia" w:ascii="宋体" w:hAnsi="宋体" w:cs="宋体"/>
          <w:b w:val="0"/>
          <w:bCs w:val="0"/>
          <w:color w:val="000000" w:themeColor="text1"/>
          <w:sz w:val="24"/>
          <w:szCs w:val="24"/>
          <w:highlight w:val="none"/>
          <w14:textFill>
            <w14:solidFill>
              <w14:schemeClr w14:val="tx1"/>
            </w14:solidFill>
          </w14:textFill>
        </w:rPr>
        <w:t>本项目采购文件内附合同格式条款为本项目采购需求的组成部分，投标人投标时承诺接受该合同格式中的所有条款。投标文件内提供承诺函，格式自拟。</w:t>
      </w:r>
    </w:p>
    <w:p>
      <w:pPr>
        <w:pStyle w:val="14"/>
        <w:adjustRightInd w:val="0"/>
        <w:snapToGrid w:val="0"/>
        <w:spacing w:before="0" w:after="0" w:line="440" w:lineRule="exact"/>
        <w:ind w:firstLine="480" w:firstLineChars="200"/>
        <w:outlineLvl w:val="9"/>
        <w:rPr>
          <w:rFonts w:ascii="宋体" w:hAnsi="宋体" w:cs="宋体"/>
          <w:b w:val="0"/>
          <w:bCs w:val="0"/>
          <w:color w:val="000000" w:themeColor="text1"/>
          <w:sz w:val="24"/>
          <w:szCs w:val="24"/>
          <w:highlight w:val="none"/>
          <w14:textFill>
            <w14:solidFill>
              <w14:schemeClr w14:val="tx1"/>
            </w14:solidFill>
          </w14:textFill>
        </w:rPr>
      </w:pPr>
      <w:r>
        <w:rPr>
          <w:rFonts w:ascii="宋体" w:hAnsi="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14:textFill>
            <w14:solidFill>
              <w14:schemeClr w14:val="tx1"/>
            </w14:solidFill>
          </w14:textFill>
        </w:rPr>
        <w:t>（二）投标人在《开标一览表》中报出总价（作为价格分计算依据），并在投标文件中</w:t>
      </w:r>
      <w:r>
        <w:rPr>
          <w:rFonts w:ascii="宋体" w:hAnsi="宋体" w:cs="宋体"/>
          <w:b w:val="0"/>
          <w:bCs w:val="0"/>
          <w:color w:val="000000" w:themeColor="text1"/>
          <w:sz w:val="24"/>
          <w:szCs w:val="24"/>
          <w:highlight w:val="none"/>
          <w14:textFill>
            <w14:solidFill>
              <w14:schemeClr w14:val="tx1"/>
            </w14:solidFill>
          </w14:textFill>
        </w:rPr>
        <w:t>附上</w:t>
      </w:r>
      <w:r>
        <w:rPr>
          <w:rFonts w:hint="eastAsia" w:ascii="宋体" w:hAnsi="宋体" w:cs="宋体"/>
          <w:b w:val="0"/>
          <w:bCs w:val="0"/>
          <w:color w:val="000000" w:themeColor="text1"/>
          <w:sz w:val="24"/>
          <w:szCs w:val="24"/>
          <w:highlight w:val="none"/>
          <w14:textFill>
            <w14:solidFill>
              <w14:schemeClr w14:val="tx1"/>
            </w14:solidFill>
          </w14:textFill>
        </w:rPr>
        <w:t>下表并填写。每项报价单价不得超过对应服务细项的总价最高预算，单价的总和不得超过总价预算，否则投标无效。</w:t>
      </w:r>
    </w:p>
    <w:p>
      <w:pPr>
        <w:pStyle w:val="12"/>
        <w:rPr>
          <w:rFonts w:ascii="宋体" w:hAnsi="宋体" w:cs="宋体"/>
          <w:color w:val="000000" w:themeColor="text1"/>
          <w:sz w:val="24"/>
          <w:highlight w:val="none"/>
          <w14:textFill>
            <w14:solidFill>
              <w14:schemeClr w14:val="tx1"/>
            </w14:solidFill>
          </w14:textFill>
        </w:rPr>
      </w:pPr>
    </w:p>
    <w:p>
      <w:pPr>
        <w:jc w:val="center"/>
        <w:outlineLvl w:val="1"/>
        <w:rPr>
          <w:rFonts w:ascii="宋体" w:hAnsi="宋体" w:eastAsia="宋体"/>
          <w:b/>
          <w:bCs/>
          <w:color w:val="000000" w:themeColor="text1"/>
          <w:sz w:val="44"/>
          <w:szCs w:val="44"/>
          <w:highlight w:val="none"/>
          <w14:textFill>
            <w14:solidFill>
              <w14:schemeClr w14:val="tx1"/>
            </w14:solidFill>
          </w14:textFill>
        </w:rPr>
      </w:pPr>
      <w:r>
        <w:rPr>
          <w:rFonts w:hint="eastAsia" w:ascii="宋体" w:hAnsi="宋体" w:eastAsia="宋体"/>
          <w:b/>
          <w:bCs/>
          <w:color w:val="000000" w:themeColor="text1"/>
          <w:sz w:val="44"/>
          <w:szCs w:val="44"/>
          <w:highlight w:val="none"/>
          <w14:textFill>
            <w14:solidFill>
              <w14:schemeClr w14:val="tx1"/>
            </w14:solidFill>
          </w14:textFill>
        </w:rPr>
        <w:t>价格明细表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125"/>
        <w:gridCol w:w="988"/>
        <w:gridCol w:w="848"/>
        <w:gridCol w:w="1020"/>
        <w:gridCol w:w="850"/>
        <w:gridCol w:w="1022"/>
        <w:gridCol w:w="102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序号</w:t>
            </w:r>
          </w:p>
        </w:tc>
        <w:tc>
          <w:tcPr>
            <w:tcW w:w="1125"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服务</w:t>
            </w:r>
          </w:p>
        </w:tc>
        <w:tc>
          <w:tcPr>
            <w:tcW w:w="988"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结算方式</w:t>
            </w:r>
          </w:p>
        </w:tc>
        <w:tc>
          <w:tcPr>
            <w:tcW w:w="848"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需求数量</w:t>
            </w:r>
          </w:p>
        </w:tc>
        <w:tc>
          <w:tcPr>
            <w:tcW w:w="1020"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总价最高预算（元）</w:t>
            </w:r>
          </w:p>
        </w:tc>
        <w:tc>
          <w:tcPr>
            <w:tcW w:w="850"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响应数量</w:t>
            </w:r>
          </w:p>
        </w:tc>
        <w:tc>
          <w:tcPr>
            <w:tcW w:w="1022"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单价（元）</w:t>
            </w:r>
          </w:p>
        </w:tc>
        <w:tc>
          <w:tcPr>
            <w:tcW w:w="1022"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总价（元）</w:t>
            </w:r>
          </w:p>
        </w:tc>
        <w:tc>
          <w:tcPr>
            <w:tcW w:w="850"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noWrap w:val="0"/>
            <w:vAlign w:val="top"/>
          </w:tcPr>
          <w:p>
            <w:pPr>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1125"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广州市公共信用信息管理系统</w:t>
            </w:r>
          </w:p>
        </w:tc>
        <w:tc>
          <w:tcPr>
            <w:tcW w:w="988" w:type="dxa"/>
            <w:noWrap w:val="0"/>
            <w:vAlign w:val="top"/>
          </w:tcPr>
          <w:p>
            <w:pPr>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项</w:t>
            </w:r>
          </w:p>
        </w:tc>
        <w:tc>
          <w:tcPr>
            <w:tcW w:w="848"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1020"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419690 </w:t>
            </w:r>
          </w:p>
        </w:tc>
        <w:tc>
          <w:tcPr>
            <w:tcW w:w="850" w:type="dxa"/>
            <w:noWrap w:val="0"/>
            <w:vAlign w:val="top"/>
          </w:tcPr>
          <w:p>
            <w:pPr>
              <w:jc w:val="center"/>
              <w:rPr>
                <w:rFonts w:ascii="宋体" w:hAnsi="宋体" w:eastAsia="宋体"/>
                <w:color w:val="000000" w:themeColor="text1"/>
                <w:sz w:val="24"/>
                <w:highlight w:val="none"/>
                <w14:textFill>
                  <w14:solidFill>
                    <w14:schemeClr w14:val="tx1"/>
                  </w14:solidFill>
                </w14:textFill>
              </w:rPr>
            </w:pPr>
          </w:p>
        </w:tc>
        <w:tc>
          <w:tcPr>
            <w:tcW w:w="1022" w:type="dxa"/>
            <w:noWrap w:val="0"/>
            <w:vAlign w:val="top"/>
          </w:tcPr>
          <w:p>
            <w:pPr>
              <w:jc w:val="center"/>
              <w:rPr>
                <w:rFonts w:ascii="宋体" w:hAnsi="宋体" w:eastAsia="宋体"/>
                <w:color w:val="000000" w:themeColor="text1"/>
                <w:sz w:val="24"/>
                <w:highlight w:val="none"/>
                <w14:textFill>
                  <w14:solidFill>
                    <w14:schemeClr w14:val="tx1"/>
                  </w14:solidFill>
                </w14:textFill>
              </w:rPr>
            </w:pPr>
          </w:p>
        </w:tc>
        <w:tc>
          <w:tcPr>
            <w:tcW w:w="1022" w:type="dxa"/>
            <w:noWrap w:val="0"/>
            <w:vAlign w:val="top"/>
          </w:tcPr>
          <w:p>
            <w:pPr>
              <w:jc w:val="center"/>
              <w:rPr>
                <w:rFonts w:ascii="宋体" w:hAnsi="宋体" w:eastAsia="宋体"/>
                <w:color w:val="000000" w:themeColor="text1"/>
                <w:sz w:val="24"/>
                <w:highlight w:val="none"/>
                <w14:textFill>
                  <w14:solidFill>
                    <w14:schemeClr w14:val="tx1"/>
                  </w14:solidFill>
                </w14:textFill>
              </w:rPr>
            </w:pPr>
          </w:p>
        </w:tc>
        <w:tc>
          <w:tcPr>
            <w:tcW w:w="850" w:type="dxa"/>
            <w:noWrap w:val="0"/>
            <w:vAlign w:val="top"/>
          </w:tcPr>
          <w:p>
            <w:pPr>
              <w:jc w:val="center"/>
              <w:rPr>
                <w:rFonts w:ascii="宋体" w:hAnsi="宋体" w:eastAsia="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noWrap w:val="0"/>
            <w:vAlign w:val="top"/>
          </w:tcPr>
          <w:p>
            <w:pP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1125" w:type="dxa"/>
            <w:noWrap w:val="0"/>
            <w:vAlign w:val="top"/>
          </w:tcPr>
          <w:p>
            <w:pPr>
              <w:rPr>
                <w:rFonts w:ascii="宋体" w:hAnsi="宋体" w:eastAsia="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广州市信用监管应用支撑平台</w:t>
            </w:r>
          </w:p>
        </w:tc>
        <w:tc>
          <w:tcPr>
            <w:tcW w:w="988" w:type="dxa"/>
            <w:noWrap w:val="0"/>
            <w:vAlign w:val="top"/>
          </w:tcPr>
          <w:p>
            <w:pP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项</w:t>
            </w:r>
          </w:p>
        </w:tc>
        <w:tc>
          <w:tcPr>
            <w:tcW w:w="848" w:type="dxa"/>
            <w:noWrap w:val="0"/>
            <w:vAlign w:val="top"/>
          </w:tcPr>
          <w:p>
            <w:pP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1020" w:type="dxa"/>
            <w:noWrap w:val="0"/>
            <w:vAlign w:val="top"/>
          </w:tcPr>
          <w:p>
            <w:pPr>
              <w:rPr>
                <w:rFonts w:ascii="宋体" w:hAnsi="宋体" w:eastAsia="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188730 </w:t>
            </w:r>
          </w:p>
        </w:tc>
        <w:tc>
          <w:tcPr>
            <w:tcW w:w="850" w:type="dxa"/>
            <w:noWrap w:val="0"/>
            <w:vAlign w:val="top"/>
          </w:tcPr>
          <w:p>
            <w:pPr>
              <w:rPr>
                <w:rFonts w:ascii="宋体" w:hAnsi="宋体" w:eastAsia="宋体"/>
                <w:color w:val="000000" w:themeColor="text1"/>
                <w:sz w:val="24"/>
                <w:highlight w:val="none"/>
                <w14:textFill>
                  <w14:solidFill>
                    <w14:schemeClr w14:val="tx1"/>
                  </w14:solidFill>
                </w14:textFill>
              </w:rPr>
            </w:pPr>
          </w:p>
        </w:tc>
        <w:tc>
          <w:tcPr>
            <w:tcW w:w="1022" w:type="dxa"/>
            <w:noWrap w:val="0"/>
            <w:vAlign w:val="top"/>
          </w:tcPr>
          <w:p>
            <w:pPr>
              <w:rPr>
                <w:rFonts w:ascii="宋体" w:hAnsi="宋体" w:eastAsia="宋体"/>
                <w:color w:val="000000" w:themeColor="text1"/>
                <w:sz w:val="24"/>
                <w:highlight w:val="none"/>
                <w14:textFill>
                  <w14:solidFill>
                    <w14:schemeClr w14:val="tx1"/>
                  </w14:solidFill>
                </w14:textFill>
              </w:rPr>
            </w:pPr>
          </w:p>
        </w:tc>
        <w:tc>
          <w:tcPr>
            <w:tcW w:w="1022" w:type="dxa"/>
            <w:noWrap w:val="0"/>
            <w:vAlign w:val="top"/>
          </w:tcPr>
          <w:p>
            <w:pPr>
              <w:rPr>
                <w:rFonts w:ascii="宋体" w:hAnsi="宋体" w:eastAsia="宋体"/>
                <w:color w:val="000000" w:themeColor="text1"/>
                <w:sz w:val="24"/>
                <w:highlight w:val="none"/>
                <w14:textFill>
                  <w14:solidFill>
                    <w14:schemeClr w14:val="tx1"/>
                  </w14:solidFill>
                </w14:textFill>
              </w:rPr>
            </w:pPr>
          </w:p>
        </w:tc>
        <w:tc>
          <w:tcPr>
            <w:tcW w:w="850" w:type="dxa"/>
            <w:noWrap w:val="0"/>
            <w:vAlign w:val="top"/>
          </w:tcPr>
          <w:p>
            <w:pPr>
              <w:rPr>
                <w:rFonts w:ascii="宋体" w:hAnsi="宋体" w:eastAsia="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noWrap w:val="0"/>
            <w:vAlign w:val="top"/>
          </w:tcPr>
          <w:p>
            <w:pPr>
              <w:rPr>
                <w:rFonts w:ascii="宋体" w:hAnsi="宋体" w:eastAsia="宋体"/>
                <w:color w:val="000000" w:themeColor="text1"/>
                <w:sz w:val="24"/>
                <w:highlight w:val="none"/>
                <w14:textFill>
                  <w14:solidFill>
                    <w14:schemeClr w14:val="tx1"/>
                  </w14:solidFill>
                </w14:textFill>
              </w:rPr>
            </w:pPr>
          </w:p>
        </w:tc>
        <w:tc>
          <w:tcPr>
            <w:tcW w:w="1125" w:type="dxa"/>
            <w:noWrap w:val="0"/>
            <w:vAlign w:val="top"/>
          </w:tcPr>
          <w:p>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合计</w:t>
            </w:r>
          </w:p>
        </w:tc>
        <w:tc>
          <w:tcPr>
            <w:tcW w:w="988" w:type="dxa"/>
            <w:noWrap w:val="0"/>
            <w:vAlign w:val="top"/>
          </w:tcPr>
          <w:p>
            <w:pPr>
              <w:rPr>
                <w:rFonts w:ascii="宋体" w:hAnsi="宋体" w:eastAsia="宋体"/>
                <w:color w:val="000000" w:themeColor="text1"/>
                <w:sz w:val="24"/>
                <w:highlight w:val="none"/>
                <w14:textFill>
                  <w14:solidFill>
                    <w14:schemeClr w14:val="tx1"/>
                  </w14:solidFill>
                </w14:textFill>
              </w:rPr>
            </w:pPr>
          </w:p>
        </w:tc>
        <w:tc>
          <w:tcPr>
            <w:tcW w:w="848" w:type="dxa"/>
            <w:noWrap w:val="0"/>
            <w:vAlign w:val="top"/>
          </w:tcPr>
          <w:p>
            <w:pPr>
              <w:rPr>
                <w:rFonts w:ascii="宋体" w:hAnsi="宋体" w:eastAsia="宋体"/>
                <w:color w:val="000000" w:themeColor="text1"/>
                <w:sz w:val="24"/>
                <w:highlight w:val="none"/>
                <w14:textFill>
                  <w14:solidFill>
                    <w14:schemeClr w14:val="tx1"/>
                  </w14:solidFill>
                </w14:textFill>
              </w:rPr>
            </w:pPr>
          </w:p>
        </w:tc>
        <w:tc>
          <w:tcPr>
            <w:tcW w:w="1020" w:type="dxa"/>
            <w:noWrap w:val="0"/>
            <w:vAlign w:val="top"/>
          </w:tcPr>
          <w:p>
            <w:pP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608420</w:t>
            </w:r>
          </w:p>
        </w:tc>
        <w:tc>
          <w:tcPr>
            <w:tcW w:w="850" w:type="dxa"/>
            <w:noWrap w:val="0"/>
            <w:vAlign w:val="top"/>
          </w:tcPr>
          <w:p>
            <w:pPr>
              <w:rPr>
                <w:rFonts w:ascii="宋体" w:hAnsi="宋体" w:eastAsia="宋体"/>
                <w:color w:val="000000" w:themeColor="text1"/>
                <w:sz w:val="24"/>
                <w:highlight w:val="none"/>
                <w14:textFill>
                  <w14:solidFill>
                    <w14:schemeClr w14:val="tx1"/>
                  </w14:solidFill>
                </w14:textFill>
              </w:rPr>
            </w:pPr>
          </w:p>
        </w:tc>
        <w:tc>
          <w:tcPr>
            <w:tcW w:w="1022" w:type="dxa"/>
            <w:noWrap w:val="0"/>
            <w:vAlign w:val="top"/>
          </w:tcPr>
          <w:p>
            <w:pPr>
              <w:rPr>
                <w:rFonts w:ascii="宋体" w:hAnsi="宋体" w:eastAsia="宋体"/>
                <w:color w:val="000000" w:themeColor="text1"/>
                <w:sz w:val="24"/>
                <w:highlight w:val="none"/>
                <w14:textFill>
                  <w14:solidFill>
                    <w14:schemeClr w14:val="tx1"/>
                  </w14:solidFill>
                </w14:textFill>
              </w:rPr>
            </w:pPr>
          </w:p>
        </w:tc>
        <w:tc>
          <w:tcPr>
            <w:tcW w:w="1022" w:type="dxa"/>
            <w:noWrap w:val="0"/>
            <w:vAlign w:val="top"/>
          </w:tcPr>
          <w:p>
            <w:pPr>
              <w:rPr>
                <w:rFonts w:ascii="宋体" w:hAnsi="宋体" w:eastAsia="宋体"/>
                <w:color w:val="000000" w:themeColor="text1"/>
                <w:sz w:val="24"/>
                <w:highlight w:val="none"/>
                <w14:textFill>
                  <w14:solidFill>
                    <w14:schemeClr w14:val="tx1"/>
                  </w14:solidFill>
                </w14:textFill>
              </w:rPr>
            </w:pPr>
          </w:p>
        </w:tc>
        <w:tc>
          <w:tcPr>
            <w:tcW w:w="850" w:type="dxa"/>
            <w:noWrap w:val="0"/>
            <w:vAlign w:val="top"/>
          </w:tcPr>
          <w:p>
            <w:pPr>
              <w:rPr>
                <w:rFonts w:ascii="宋体" w:hAnsi="宋体" w:eastAsia="宋体"/>
                <w:color w:val="000000" w:themeColor="text1"/>
                <w:sz w:val="24"/>
                <w:highlight w:val="none"/>
                <w14:textFill>
                  <w14:solidFill>
                    <w14:schemeClr w14:val="tx1"/>
                  </w14:solidFill>
                </w14:textFill>
              </w:rPr>
            </w:pPr>
          </w:p>
        </w:tc>
      </w:tr>
    </w:tbl>
    <w:p>
      <w:pPr>
        <w:pStyle w:val="6"/>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说明：（1）此表需在投标文件中提供，合计价格需与《开标一览表》中总报价一致，作为合同履行、结算的依据。由于客观原因造成本项目服务量未达采购要求的，以投标人投标文件所列《价格明细表》中未完成的服务对应的未完成数量（月数、天数、个数、项数、次数、份数等）乘以该项服务单价得出的该项服务核减金额，作为在该项服务上的应核减金额进行结算。（2）如有缺项、漏项（数量不满足将被视为漏项），均视为报价中已包含相关费用，采购人无须另外支付任何费用。</w:t>
      </w:r>
    </w:p>
    <w:p>
      <w:bookmarkStart w:id="66" w:name="_GoBack"/>
      <w:bookmarkEnd w:id="6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7A8A8"/>
    <w:multiLevelType w:val="singleLevel"/>
    <w:tmpl w:val="8237A8A8"/>
    <w:lvl w:ilvl="0" w:tentative="0">
      <w:start w:val="1"/>
      <w:numFmt w:val="bullet"/>
      <w:lvlText w:val=""/>
      <w:lvlJc w:val="left"/>
      <w:pPr>
        <w:ind w:left="420" w:hanging="420"/>
      </w:pPr>
      <w:rPr>
        <w:rFonts w:hint="default" w:ascii="Wingdings" w:hAnsi="Wingdings"/>
      </w:rPr>
    </w:lvl>
  </w:abstractNum>
  <w:abstractNum w:abstractNumId="1">
    <w:nsid w:val="948B99F2"/>
    <w:multiLevelType w:val="singleLevel"/>
    <w:tmpl w:val="948B99F2"/>
    <w:lvl w:ilvl="0" w:tentative="0">
      <w:start w:val="8"/>
      <w:numFmt w:val="chineseCounting"/>
      <w:suff w:val="nothing"/>
      <w:lvlText w:val="%1、"/>
      <w:lvlJc w:val="left"/>
      <w:rPr>
        <w:rFonts w:hint="eastAsia"/>
      </w:rPr>
    </w:lvl>
  </w:abstractNum>
  <w:abstractNum w:abstractNumId="2">
    <w:nsid w:val="BCE7D123"/>
    <w:multiLevelType w:val="singleLevel"/>
    <w:tmpl w:val="BCE7D123"/>
    <w:lvl w:ilvl="0" w:tentative="0">
      <w:start w:val="1"/>
      <w:numFmt w:val="decimal"/>
      <w:suff w:val="space"/>
      <w:lvlText w:val="%1."/>
      <w:lvlJc w:val="left"/>
    </w:lvl>
  </w:abstractNum>
  <w:abstractNum w:abstractNumId="3">
    <w:nsid w:val="C4C68638"/>
    <w:multiLevelType w:val="singleLevel"/>
    <w:tmpl w:val="C4C68638"/>
    <w:lvl w:ilvl="0" w:tentative="0">
      <w:start w:val="2"/>
      <w:numFmt w:val="chineseCounting"/>
      <w:suff w:val="nothing"/>
      <w:lvlText w:val="（%1）"/>
      <w:lvlJc w:val="left"/>
      <w:rPr>
        <w:rFonts w:hint="eastAsia"/>
      </w:rPr>
    </w:lvl>
  </w:abstractNum>
  <w:abstractNum w:abstractNumId="4">
    <w:nsid w:val="EAD07192"/>
    <w:multiLevelType w:val="singleLevel"/>
    <w:tmpl w:val="EAD07192"/>
    <w:lvl w:ilvl="0" w:tentative="0">
      <w:start w:val="1"/>
      <w:numFmt w:val="bullet"/>
      <w:lvlText w:val=""/>
      <w:lvlJc w:val="left"/>
      <w:pPr>
        <w:ind w:left="420" w:hanging="420"/>
      </w:pPr>
      <w:rPr>
        <w:rFonts w:hint="default" w:ascii="Wingdings" w:hAnsi="Wingdings"/>
      </w:rPr>
    </w:lvl>
  </w:abstractNum>
  <w:abstractNum w:abstractNumId="5">
    <w:nsid w:val="F0B2679F"/>
    <w:multiLevelType w:val="singleLevel"/>
    <w:tmpl w:val="F0B2679F"/>
    <w:lvl w:ilvl="0" w:tentative="0">
      <w:start w:val="1"/>
      <w:numFmt w:val="bullet"/>
      <w:lvlText w:val=""/>
      <w:lvlJc w:val="left"/>
      <w:pPr>
        <w:ind w:left="420" w:hanging="420"/>
      </w:pPr>
      <w:rPr>
        <w:rFonts w:hint="default" w:ascii="Wingdings" w:hAnsi="Wingdings"/>
      </w:rPr>
    </w:lvl>
  </w:abstractNum>
  <w:abstractNum w:abstractNumId="6">
    <w:nsid w:val="F88D187B"/>
    <w:multiLevelType w:val="singleLevel"/>
    <w:tmpl w:val="F88D187B"/>
    <w:lvl w:ilvl="0" w:tentative="0">
      <w:start w:val="16"/>
      <w:numFmt w:val="chineseCounting"/>
      <w:suff w:val="nothing"/>
      <w:lvlText w:val="%1、"/>
      <w:lvlJc w:val="left"/>
      <w:rPr>
        <w:rFonts w:hint="eastAsia"/>
      </w:rPr>
    </w:lvl>
  </w:abstractNum>
  <w:abstractNum w:abstractNumId="7">
    <w:nsid w:val="FBD6A1F1"/>
    <w:multiLevelType w:val="singleLevel"/>
    <w:tmpl w:val="FBD6A1F1"/>
    <w:lvl w:ilvl="0" w:tentative="0">
      <w:start w:val="1"/>
      <w:numFmt w:val="decimal"/>
      <w:suff w:val="space"/>
      <w:lvlText w:val="%1."/>
      <w:lvlJc w:val="left"/>
    </w:lvl>
  </w:abstractNum>
  <w:abstractNum w:abstractNumId="8">
    <w:nsid w:val="08B662E4"/>
    <w:multiLevelType w:val="multilevel"/>
    <w:tmpl w:val="08B662E4"/>
    <w:lvl w:ilvl="0" w:tentative="0">
      <w:start w:val="4"/>
      <w:numFmt w:val="japaneseCounting"/>
      <w:lvlText w:val="（%1）"/>
      <w:lvlJc w:val="left"/>
      <w:pPr>
        <w:ind w:left="1229" w:hanging="740"/>
      </w:pPr>
      <w:rPr>
        <w:rFonts w:hint="default"/>
      </w:rPr>
    </w:lvl>
    <w:lvl w:ilvl="1" w:tentative="0">
      <w:start w:val="1"/>
      <w:numFmt w:val="lowerLetter"/>
      <w:lvlText w:val="%2)"/>
      <w:lvlJc w:val="left"/>
      <w:pPr>
        <w:ind w:left="1369" w:hanging="440"/>
      </w:pPr>
    </w:lvl>
    <w:lvl w:ilvl="2" w:tentative="0">
      <w:start w:val="1"/>
      <w:numFmt w:val="lowerRoman"/>
      <w:lvlText w:val="%3."/>
      <w:lvlJc w:val="right"/>
      <w:pPr>
        <w:ind w:left="1809" w:hanging="440"/>
      </w:pPr>
    </w:lvl>
    <w:lvl w:ilvl="3" w:tentative="0">
      <w:start w:val="1"/>
      <w:numFmt w:val="decimal"/>
      <w:lvlText w:val="%4."/>
      <w:lvlJc w:val="left"/>
      <w:pPr>
        <w:ind w:left="2249" w:hanging="440"/>
      </w:pPr>
    </w:lvl>
    <w:lvl w:ilvl="4" w:tentative="0">
      <w:start w:val="1"/>
      <w:numFmt w:val="lowerLetter"/>
      <w:lvlText w:val="%5)"/>
      <w:lvlJc w:val="left"/>
      <w:pPr>
        <w:ind w:left="2689" w:hanging="440"/>
      </w:pPr>
    </w:lvl>
    <w:lvl w:ilvl="5" w:tentative="0">
      <w:start w:val="1"/>
      <w:numFmt w:val="lowerRoman"/>
      <w:lvlText w:val="%6."/>
      <w:lvlJc w:val="right"/>
      <w:pPr>
        <w:ind w:left="3129" w:hanging="440"/>
      </w:pPr>
    </w:lvl>
    <w:lvl w:ilvl="6" w:tentative="0">
      <w:start w:val="1"/>
      <w:numFmt w:val="decimal"/>
      <w:lvlText w:val="%7."/>
      <w:lvlJc w:val="left"/>
      <w:pPr>
        <w:ind w:left="3569" w:hanging="440"/>
      </w:pPr>
    </w:lvl>
    <w:lvl w:ilvl="7" w:tentative="0">
      <w:start w:val="1"/>
      <w:numFmt w:val="lowerLetter"/>
      <w:lvlText w:val="%8)"/>
      <w:lvlJc w:val="left"/>
      <w:pPr>
        <w:ind w:left="4009" w:hanging="440"/>
      </w:pPr>
    </w:lvl>
    <w:lvl w:ilvl="8" w:tentative="0">
      <w:start w:val="1"/>
      <w:numFmt w:val="lowerRoman"/>
      <w:lvlText w:val="%9."/>
      <w:lvlJc w:val="right"/>
      <w:pPr>
        <w:ind w:left="4449" w:hanging="440"/>
      </w:pPr>
    </w:lvl>
  </w:abstractNum>
  <w:abstractNum w:abstractNumId="9">
    <w:nsid w:val="3A23ECB1"/>
    <w:multiLevelType w:val="singleLevel"/>
    <w:tmpl w:val="3A23ECB1"/>
    <w:lvl w:ilvl="0" w:tentative="0">
      <w:start w:val="1"/>
      <w:numFmt w:val="chineseCounting"/>
      <w:suff w:val="nothing"/>
      <w:lvlText w:val="（%1）"/>
      <w:lvlJc w:val="left"/>
      <w:pPr>
        <w:ind w:left="0" w:firstLine="420"/>
      </w:pPr>
      <w:rPr>
        <w:rFonts w:hint="eastAsia"/>
      </w:rPr>
    </w:lvl>
  </w:abstractNum>
  <w:num w:numId="1">
    <w:abstractNumId w:val="3"/>
  </w:num>
  <w:num w:numId="2">
    <w:abstractNumId w:val="5"/>
  </w:num>
  <w:num w:numId="3">
    <w:abstractNumId w:val="4"/>
  </w:num>
  <w:num w:numId="4">
    <w:abstractNumId w:val="0"/>
  </w:num>
  <w:num w:numId="5">
    <w:abstractNumId w:val="8"/>
  </w:num>
  <w:num w:numId="6">
    <w:abstractNumId w:val="1"/>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dmY2I0MDllODZmZjA2YmQ3OGRiMTNlNmUwY2YifQ=="/>
  </w:docVars>
  <w:rsids>
    <w:rsidRoot w:val="33511A74"/>
    <w:rsid w:val="3351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10"/>
    </w:pPr>
    <w:rPr>
      <w:rFonts w:ascii="Times New Roman" w:hAnsi="Times New Roman" w:eastAsia="宋体" w:cs="Times New Roman"/>
      <w:smallCaps/>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customStyle="1" w:styleId="6">
    <w:name w:val="null3"/>
    <w:uiPriority w:val="0"/>
    <w:rPr>
      <w:rFonts w:hint="eastAsia" w:ascii="Times New Roman" w:hAnsi="Times New Roman" w:eastAsia="宋体" w:cs="Times New Roman"/>
      <w:lang w:val="en-US" w:eastAsia="zh-Hans" w:bidi="ar-SA"/>
    </w:rPr>
  </w:style>
  <w:style w:type="character" w:customStyle="1" w:styleId="7">
    <w:name w:val="font41"/>
    <w:qFormat/>
    <w:uiPriority w:val="0"/>
    <w:rPr>
      <w:rFonts w:hint="eastAsia" w:ascii="仿宋" w:hAnsi="仿宋" w:eastAsia="仿宋" w:cs="仿宋"/>
      <w:color w:val="FF0000"/>
      <w:sz w:val="24"/>
      <w:szCs w:val="24"/>
      <w:u w:val="none"/>
    </w:rPr>
  </w:style>
  <w:style w:type="character" w:customStyle="1" w:styleId="8">
    <w:name w:val="font11"/>
    <w:qFormat/>
    <w:uiPriority w:val="0"/>
    <w:rPr>
      <w:rFonts w:hint="eastAsia" w:ascii="仿宋" w:hAnsi="仿宋" w:eastAsia="仿宋" w:cs="仿宋"/>
      <w:color w:val="000000"/>
      <w:sz w:val="24"/>
      <w:szCs w:val="24"/>
      <w:u w:val="none"/>
    </w:rPr>
  </w:style>
  <w:style w:type="paragraph" w:styleId="9">
    <w:name w:val="List Paragraph"/>
    <w:basedOn w:val="1"/>
    <w:qFormat/>
    <w:uiPriority w:val="99"/>
    <w:pPr>
      <w:ind w:firstLine="420" w:firstLineChars="200"/>
    </w:pPr>
    <w:rPr>
      <w:rFonts w:ascii="Times New Roman" w:hAnsi="Times New Roman" w:eastAsia="宋体" w:cs="Times New Roman"/>
      <w:szCs w:val="20"/>
    </w:rPr>
  </w:style>
  <w:style w:type="character" w:customStyle="1" w:styleId="10">
    <w:name w:val="font01"/>
    <w:qFormat/>
    <w:uiPriority w:val="0"/>
    <w:rPr>
      <w:rFonts w:hint="eastAsia" w:ascii="宋体" w:hAnsi="宋体" w:eastAsia="宋体" w:cs="宋体"/>
      <w:color w:val="000000"/>
      <w:sz w:val="22"/>
      <w:szCs w:val="22"/>
      <w:u w:val="none"/>
    </w:rPr>
  </w:style>
  <w:style w:type="character" w:customStyle="1" w:styleId="11">
    <w:name w:val="font51"/>
    <w:qFormat/>
    <w:uiPriority w:val="0"/>
    <w:rPr>
      <w:rFonts w:hint="eastAsia" w:ascii="宋体" w:hAnsi="宋体" w:eastAsia="宋体" w:cs="宋体"/>
      <w:color w:val="000000"/>
      <w:sz w:val="22"/>
      <w:szCs w:val="22"/>
      <w:u w:val="single"/>
    </w:r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标题 2_0"/>
    <w:basedOn w:val="12"/>
    <w:next w:val="12"/>
    <w:qFormat/>
    <w:uiPriority w:val="0"/>
    <w:pPr>
      <w:keepNext/>
      <w:keepLines/>
      <w:spacing w:before="260" w:after="260" w:line="416" w:lineRule="auto"/>
      <w:outlineLvl w:val="1"/>
    </w:pPr>
    <w:rPr>
      <w:rFonts w:ascii="Calibri Light" w:hAnsi="Calibri Light"/>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2025-05-08T07:38:00Z</dcterms:created>
  <dc:creator>梁浩华</dc:creator>
  <cp:lastModifiedBy>梁浩华</cp:lastModifiedBy>
  <dcterms:modified xsi:type="dcterms:W3CDTF">2025-05-08T07:38:52Z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7EC3865CF714438A895A1E5D3CC5DA57_11</vt:lpwstr>
  </property>
</Properties>
</file>