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themeColor="text1"/>
          <w:sz w:val="36"/>
          <w:szCs w:val="36"/>
          <w:lang w:val="en"/>
          <w14:textFill>
            <w14:solidFill>
              <w14:schemeClr w14:val="tx1"/>
            </w14:solidFill>
          </w14:textFill>
        </w:rPr>
      </w:pPr>
      <w:bookmarkStart w:id="0" w:name="PO_15528_PM002_1"/>
      <w:bookmarkStart w:id="1" w:name="_Toc113861228"/>
      <w:bookmarkStart w:id="2" w:name="_Toc101361312"/>
      <w:bookmarkStart w:id="3" w:name="_Toc10403"/>
      <w:bookmarkStart w:id="4" w:name="_Toc115170430"/>
      <w:bookmarkStart w:id="5" w:name="_Toc119939008"/>
      <w:r>
        <w:rPr>
          <w:rFonts w:ascii="宋体" w:hAnsi="宋体"/>
          <w:color w:val="000000" w:themeColor="text1"/>
          <w:sz w:val="36"/>
          <w:szCs w:val="36"/>
          <w:lang w:val="en"/>
          <w14:textFill>
            <w14:solidFill>
              <w14:schemeClr w14:val="tx1"/>
            </w14:solidFill>
          </w14:textFill>
        </w:rPr>
        <w:t>202</w:t>
      </w:r>
      <w:r>
        <w:rPr>
          <w:rFonts w:hint="eastAsia" w:ascii="宋体" w:hAnsi="宋体"/>
          <w:color w:val="000000" w:themeColor="text1"/>
          <w:sz w:val="36"/>
          <w:szCs w:val="36"/>
          <w14:textFill>
            <w14:solidFill>
              <w14:schemeClr w14:val="tx1"/>
            </w14:solidFill>
          </w14:textFill>
        </w:rPr>
        <w:t>5</w:t>
      </w:r>
      <w:r>
        <w:rPr>
          <w:rFonts w:ascii="宋体" w:hAnsi="宋体"/>
          <w:color w:val="000000" w:themeColor="text1"/>
          <w:sz w:val="36"/>
          <w:szCs w:val="36"/>
          <w:lang w:val="en"/>
          <w14:textFill>
            <w14:solidFill>
              <w14:schemeClr w14:val="tx1"/>
            </w14:solidFill>
          </w14:textFill>
        </w:rPr>
        <w:t>年全国青少年体育信息工作平台</w:t>
      </w:r>
    </w:p>
    <w:p>
      <w:pPr>
        <w:jc w:val="center"/>
        <w:rPr>
          <w:rFonts w:ascii="宋体" w:hAnsi="宋体"/>
          <w:color w:val="000000" w:themeColor="text1"/>
          <w:sz w:val="36"/>
          <w:szCs w:val="36"/>
          <w:lang w:val="en"/>
          <w14:textFill>
            <w14:solidFill>
              <w14:schemeClr w14:val="tx1"/>
            </w14:solidFill>
          </w14:textFill>
        </w:rPr>
      </w:pPr>
      <w:r>
        <w:rPr>
          <w:rFonts w:ascii="宋体" w:hAnsi="宋体"/>
          <w:color w:val="000000" w:themeColor="text1"/>
          <w:sz w:val="36"/>
          <w:szCs w:val="36"/>
          <w:lang w:val="en"/>
          <w14:textFill>
            <w14:solidFill>
              <w14:schemeClr w14:val="tx1"/>
            </w14:solidFill>
          </w14:textFill>
        </w:rPr>
        <w:t>升级改造</w:t>
      </w:r>
      <w:r>
        <w:rPr>
          <w:rFonts w:hint="eastAsia" w:ascii="宋体" w:hAnsi="宋体"/>
          <w:color w:val="000000" w:themeColor="text1"/>
          <w:sz w:val="36"/>
          <w:szCs w:val="36"/>
          <w:lang w:val="en"/>
          <w14:textFill>
            <w14:solidFill>
              <w14:schemeClr w14:val="tx1"/>
            </w14:solidFill>
          </w14:textFill>
        </w:rPr>
        <w:t>项目</w:t>
      </w:r>
    </w:p>
    <w:bookmarkEnd w:id="0"/>
    <w:p>
      <w:pPr>
        <w:spacing w:before="312" w:beforeLines="100" w:line="360" w:lineRule="auto"/>
        <w:ind w:right="-108"/>
        <w:jc w:val="center"/>
        <w:rPr>
          <w:rFonts w:ascii="宋体" w:hAnsi="宋体"/>
          <w:b/>
          <w:color w:val="000000" w:themeColor="text1"/>
          <w:spacing w:val="40"/>
          <w:sz w:val="84"/>
          <w:szCs w:val="84"/>
          <w:lang w:val="e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r>
        <w:rPr>
          <w:rFonts w:ascii="宋体" w:hAnsi="宋体"/>
          <w:color w:val="000000" w:themeColor="text1"/>
          <w:sz w:val="36"/>
          <w:szCs w:val="36"/>
          <w:lang w:val="en"/>
          <w14:textFill>
            <w14:solidFill>
              <w14:schemeClr w14:val="tx1"/>
            </w14:solidFill>
          </w14:textFill>
        </w:rPr>
        <w:t>ZB</w:t>
      </w:r>
      <w:r>
        <w:rPr>
          <w:rFonts w:hint="eastAsia" w:ascii="宋体" w:hAnsi="宋体"/>
          <w:color w:val="000000" w:themeColor="text1"/>
          <w:sz w:val="36"/>
          <w:szCs w:val="36"/>
          <w14:textFill>
            <w14:solidFill>
              <w14:schemeClr w14:val="tx1"/>
            </w14:solidFill>
          </w14:textFill>
        </w:rPr>
        <w:t>GN25</w:t>
      </w:r>
      <w:r>
        <w:rPr>
          <w:rFonts w:ascii="宋体" w:hAnsi="宋体"/>
          <w:color w:val="000000" w:themeColor="text1"/>
          <w:sz w:val="36"/>
          <w:szCs w:val="36"/>
          <w:lang w:val="en"/>
          <w14:textFill>
            <w14:solidFill>
              <w14:schemeClr w14:val="tx1"/>
            </w14:solidFill>
          </w14:textFill>
        </w:rPr>
        <w:t>-</w:t>
      </w:r>
      <w:r>
        <w:rPr>
          <w:rFonts w:hint="eastAsia" w:ascii="宋体" w:hAnsi="宋体"/>
          <w:color w:val="000000" w:themeColor="text1"/>
          <w:sz w:val="36"/>
          <w:szCs w:val="36"/>
          <w14:textFill>
            <w14:solidFill>
              <w14:schemeClr w14:val="tx1"/>
            </w14:solidFill>
          </w14:textFill>
        </w:rPr>
        <w:t>0</w:t>
      </w:r>
      <w:r>
        <w:rPr>
          <w:rFonts w:ascii="宋体" w:hAnsi="宋体"/>
          <w:color w:val="000000" w:themeColor="text1"/>
          <w:sz w:val="36"/>
          <w:szCs w:val="36"/>
          <w:lang w:val="en"/>
          <w14:textFill>
            <w14:solidFill>
              <w14:schemeClr w14:val="tx1"/>
            </w14:solidFill>
          </w14:textFill>
        </w:rPr>
        <w:t>1</w:t>
      </w:r>
    </w:p>
    <w:p>
      <w:pPr>
        <w:spacing w:before="312" w:beforeLines="100"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招</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pPr>
        <w:ind w:right="-110"/>
        <w:rPr>
          <w:rFonts w:ascii="宋体" w:hAnsi="宋体"/>
          <w:color w:val="000000" w:themeColor="text1"/>
          <w:sz w:val="32"/>
          <w:szCs w:val="32"/>
          <w14:textFill>
            <w14:solidFill>
              <w14:schemeClr w14:val="tx1"/>
            </w14:solidFill>
          </w14:textFill>
        </w:rPr>
      </w:pPr>
    </w:p>
    <w:p>
      <w:pPr>
        <w:ind w:right="-110"/>
        <w:rPr>
          <w:rFonts w:ascii="宋体" w:hAnsi="宋体"/>
          <w:color w:val="000000" w:themeColor="text1"/>
          <w:sz w:val="32"/>
          <w:szCs w:val="32"/>
          <w14:textFill>
            <w14:solidFill>
              <w14:schemeClr w14:val="tx1"/>
            </w14:solidFill>
          </w14:textFill>
        </w:rPr>
      </w:pPr>
    </w:p>
    <w:p>
      <w:pPr>
        <w:spacing w:line="500" w:lineRule="exact"/>
        <w:ind w:right="532" w:firstLine="540" w:firstLineChars="15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采购单位：国家体育总局体育器材装备中心</w:t>
      </w:r>
    </w:p>
    <w:p>
      <w:pPr>
        <w:wordWrap w:val="0"/>
        <w:spacing w:line="500" w:lineRule="exact"/>
        <w:ind w:right="-108" w:firstLine="540" w:firstLineChars="15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址：北京市东城区体育馆路3号</w:t>
      </w:r>
    </w:p>
    <w:p>
      <w:pPr>
        <w:spacing w:line="500" w:lineRule="exact"/>
        <w:ind w:right="-108"/>
        <w:jc w:val="center"/>
        <w:rPr>
          <w:rFonts w:hAnsi="宋体"/>
          <w:b/>
          <w:color w:val="000000" w:themeColor="text1"/>
          <w:sz w:val="36"/>
          <w:szCs w:val="36"/>
          <w14:textFill>
            <w14:solidFill>
              <w14:schemeClr w14:val="tx1"/>
            </w14:solidFill>
          </w14:textFill>
        </w:rPr>
      </w:pPr>
      <w:r>
        <w:rPr>
          <w:rFonts w:hAnsi="宋体"/>
          <w:b/>
          <w:color w:val="000000" w:themeColor="text1"/>
          <w:sz w:val="44"/>
          <w:szCs w:val="44"/>
          <w14:textFill>
            <w14:solidFill>
              <w14:schemeClr w14:val="tx1"/>
            </w14:solidFill>
          </w14:textFill>
        </w:rPr>
        <w:br w:type="page"/>
      </w:r>
      <w:r>
        <w:rPr>
          <w:rFonts w:hint="eastAsia" w:hAnsi="宋体"/>
          <w:b/>
          <w:color w:val="000000" w:themeColor="text1"/>
          <w:sz w:val="36"/>
          <w:szCs w:val="36"/>
          <w14:textFill>
            <w14:solidFill>
              <w14:schemeClr w14:val="tx1"/>
            </w14:solidFill>
          </w14:textFill>
        </w:rPr>
        <w:t>目录</w:t>
      </w:r>
    </w:p>
    <w:p>
      <w:pPr>
        <w:pStyle w:val="16"/>
        <w:spacing w:before="156" w:after="156" w:line="360" w:lineRule="auto"/>
        <w:jc w:val="center"/>
        <w:rPr>
          <w:rFonts w:hAnsi="宋体" w:eastAsia="仿宋_GB2312"/>
          <w:color w:val="000000" w:themeColor="text1"/>
          <w:sz w:val="32"/>
          <w:szCs w:val="32"/>
          <w14:textFill>
            <w14:solidFill>
              <w14:schemeClr w14:val="tx1"/>
            </w14:solidFill>
          </w14:textFill>
        </w:rPr>
      </w:pPr>
    </w:p>
    <w:p>
      <w:pPr>
        <w:pStyle w:val="22"/>
        <w:tabs>
          <w:tab w:val="right" w:leader="dot" w:pos="8306"/>
        </w:tabs>
      </w:pPr>
      <w:r>
        <w:rPr>
          <w:rFonts w:ascii="宋体" w:hAnsi="宋体" w:eastAsia="仿宋_GB2312"/>
          <w:color w:val="000000" w:themeColor="text1"/>
          <w:sz w:val="30"/>
          <w:szCs w:val="30"/>
          <w14:textFill>
            <w14:solidFill>
              <w14:schemeClr w14:val="tx1"/>
            </w14:solidFill>
          </w14:textFill>
        </w:rPr>
        <w:fldChar w:fldCharType="begin"/>
      </w:r>
      <w:r>
        <w:rPr>
          <w:rFonts w:ascii="宋体" w:hAnsi="宋体" w:eastAsia="仿宋_GB2312"/>
          <w:color w:val="000000" w:themeColor="text1"/>
          <w:sz w:val="30"/>
          <w:szCs w:val="30"/>
          <w14:textFill>
            <w14:solidFill>
              <w14:schemeClr w14:val="tx1"/>
            </w14:solidFill>
          </w14:textFill>
        </w:rPr>
        <w:instrText xml:space="preserve"> TOC \o "1-1" \h \z \u </w:instrText>
      </w:r>
      <w:r>
        <w:rPr>
          <w:rFonts w:ascii="宋体" w:hAnsi="宋体" w:eastAsia="仿宋_GB2312"/>
          <w:color w:val="000000" w:themeColor="text1"/>
          <w:sz w:val="30"/>
          <w:szCs w:val="30"/>
          <w14:textFill>
            <w14:solidFill>
              <w14:schemeClr w14:val="tx1"/>
            </w14:solidFill>
          </w14:textFill>
        </w:rPr>
        <w:fldChar w:fldCharType="separate"/>
      </w:r>
      <w:r>
        <w:rPr>
          <w:rFonts w:ascii="宋体" w:hAnsi="宋体" w:eastAsia="仿宋_GB2312"/>
          <w:color w:val="000000" w:themeColor="text1"/>
          <w:szCs w:val="30"/>
          <w14:textFill>
            <w14:solidFill>
              <w14:schemeClr w14:val="tx1"/>
            </w14:solidFill>
          </w14:textFill>
        </w:rPr>
        <w:fldChar w:fldCharType="begin"/>
      </w:r>
      <w:r>
        <w:rPr>
          <w:rFonts w:ascii="宋体" w:hAnsi="宋体" w:eastAsia="仿宋_GB2312"/>
          <w:szCs w:val="30"/>
        </w:rPr>
        <w:instrText xml:space="preserve"> HYPERLINK \l _Toc21123 </w:instrText>
      </w:r>
      <w:r>
        <w:rPr>
          <w:rFonts w:ascii="宋体" w:hAnsi="宋体" w:eastAsia="仿宋_GB2312"/>
          <w:szCs w:val="30"/>
        </w:rPr>
        <w:fldChar w:fldCharType="separate"/>
      </w:r>
      <w:r>
        <w:rPr>
          <w:rFonts w:hint="eastAsia" w:hAnsi="宋体"/>
          <w:szCs w:val="36"/>
        </w:rPr>
        <w:t>第一章 公开招标采购公告</w:t>
      </w:r>
      <w:r>
        <w:tab/>
      </w:r>
      <w:r>
        <w:fldChar w:fldCharType="begin"/>
      </w:r>
      <w:r>
        <w:instrText xml:space="preserve"> PAGEREF _Toc21123 \h </w:instrText>
      </w:r>
      <w:r>
        <w:fldChar w:fldCharType="separate"/>
      </w:r>
      <w:r>
        <w:t>3</w:t>
      </w:r>
      <w:r>
        <w:fldChar w:fldCharType="end"/>
      </w:r>
      <w:r>
        <w:rPr>
          <w:rFonts w:ascii="宋体" w:hAnsi="宋体" w:eastAsia="仿宋_GB2312"/>
          <w:color w:val="000000" w:themeColor="text1"/>
          <w:szCs w:val="30"/>
          <w14:textFill>
            <w14:solidFill>
              <w14:schemeClr w14:val="tx1"/>
            </w14:solidFill>
          </w14:textFill>
        </w:rPr>
        <w:fldChar w:fldCharType="end"/>
      </w:r>
    </w:p>
    <w:p>
      <w:pPr>
        <w:pStyle w:val="22"/>
        <w:tabs>
          <w:tab w:val="right" w:leader="dot" w:pos="8306"/>
        </w:tabs>
      </w:pPr>
      <w:r>
        <w:rPr>
          <w:rFonts w:ascii="宋体" w:hAnsi="宋体" w:eastAsia="仿宋_GB2312"/>
          <w:color w:val="000000" w:themeColor="text1"/>
          <w:szCs w:val="30"/>
          <w14:textFill>
            <w14:solidFill>
              <w14:schemeClr w14:val="tx1"/>
            </w14:solidFill>
          </w14:textFill>
        </w:rPr>
        <w:fldChar w:fldCharType="begin"/>
      </w:r>
      <w:r>
        <w:rPr>
          <w:rFonts w:ascii="宋体" w:hAnsi="宋体" w:eastAsia="仿宋_GB2312"/>
          <w:szCs w:val="30"/>
        </w:rPr>
        <w:instrText xml:space="preserve"> HYPERLINK \l _Toc12866 </w:instrText>
      </w:r>
      <w:r>
        <w:rPr>
          <w:rFonts w:ascii="宋体" w:hAnsi="宋体" w:eastAsia="仿宋_GB2312"/>
          <w:szCs w:val="30"/>
        </w:rPr>
        <w:fldChar w:fldCharType="separate"/>
      </w:r>
      <w:r>
        <w:rPr>
          <w:rFonts w:hint="eastAsia" w:hAnsi="宋体"/>
          <w:szCs w:val="36"/>
        </w:rPr>
        <w:t>第二章 投标人须知</w:t>
      </w:r>
      <w:r>
        <w:tab/>
      </w:r>
      <w:r>
        <w:fldChar w:fldCharType="begin"/>
      </w:r>
      <w:r>
        <w:instrText xml:space="preserve"> PAGEREF _Toc12866 \h </w:instrText>
      </w:r>
      <w:r>
        <w:fldChar w:fldCharType="separate"/>
      </w:r>
      <w:r>
        <w:t>9</w:t>
      </w:r>
      <w:r>
        <w:fldChar w:fldCharType="end"/>
      </w:r>
      <w:r>
        <w:rPr>
          <w:rFonts w:ascii="宋体" w:hAnsi="宋体" w:eastAsia="仿宋_GB2312"/>
          <w:color w:val="000000" w:themeColor="text1"/>
          <w:szCs w:val="30"/>
          <w14:textFill>
            <w14:solidFill>
              <w14:schemeClr w14:val="tx1"/>
            </w14:solidFill>
          </w14:textFill>
        </w:rPr>
        <w:fldChar w:fldCharType="end"/>
      </w:r>
    </w:p>
    <w:p>
      <w:pPr>
        <w:pStyle w:val="22"/>
        <w:tabs>
          <w:tab w:val="right" w:leader="dot" w:pos="8306"/>
        </w:tabs>
      </w:pPr>
      <w:r>
        <w:rPr>
          <w:rFonts w:ascii="宋体" w:hAnsi="宋体" w:eastAsia="仿宋_GB2312"/>
          <w:color w:val="000000" w:themeColor="text1"/>
          <w:szCs w:val="30"/>
          <w14:textFill>
            <w14:solidFill>
              <w14:schemeClr w14:val="tx1"/>
            </w14:solidFill>
          </w14:textFill>
        </w:rPr>
        <w:fldChar w:fldCharType="begin"/>
      </w:r>
      <w:r>
        <w:rPr>
          <w:rFonts w:ascii="宋体" w:hAnsi="宋体" w:eastAsia="仿宋_GB2312"/>
          <w:szCs w:val="30"/>
        </w:rPr>
        <w:instrText xml:space="preserve"> HYPERLINK \l _Toc14261 </w:instrText>
      </w:r>
      <w:r>
        <w:rPr>
          <w:rFonts w:ascii="宋体" w:hAnsi="宋体" w:eastAsia="仿宋_GB2312"/>
          <w:szCs w:val="30"/>
        </w:rPr>
        <w:fldChar w:fldCharType="separate"/>
      </w:r>
      <w:r>
        <w:rPr>
          <w:rFonts w:hint="eastAsia" w:hAnsi="宋体"/>
          <w:szCs w:val="36"/>
        </w:rPr>
        <w:t>第四章 招标需求</w:t>
      </w:r>
      <w:r>
        <w:tab/>
      </w:r>
      <w:r>
        <w:fldChar w:fldCharType="begin"/>
      </w:r>
      <w:r>
        <w:instrText xml:space="preserve"> PAGEREF _Toc14261 \h </w:instrText>
      </w:r>
      <w:r>
        <w:fldChar w:fldCharType="separate"/>
      </w:r>
      <w:r>
        <w:t>33</w:t>
      </w:r>
      <w:r>
        <w:fldChar w:fldCharType="end"/>
      </w:r>
      <w:r>
        <w:rPr>
          <w:rFonts w:ascii="宋体" w:hAnsi="宋体" w:eastAsia="仿宋_GB2312"/>
          <w:color w:val="000000" w:themeColor="text1"/>
          <w:szCs w:val="30"/>
          <w14:textFill>
            <w14:solidFill>
              <w14:schemeClr w14:val="tx1"/>
            </w14:solidFill>
          </w14:textFill>
        </w:rPr>
        <w:fldChar w:fldCharType="end"/>
      </w:r>
    </w:p>
    <w:p>
      <w:pPr>
        <w:pStyle w:val="22"/>
        <w:tabs>
          <w:tab w:val="right" w:leader="dot" w:pos="8306"/>
        </w:tabs>
      </w:pPr>
      <w:r>
        <w:rPr>
          <w:rFonts w:ascii="宋体" w:hAnsi="宋体" w:eastAsia="仿宋_GB2312"/>
          <w:color w:val="000000" w:themeColor="text1"/>
          <w:szCs w:val="30"/>
          <w14:textFill>
            <w14:solidFill>
              <w14:schemeClr w14:val="tx1"/>
            </w14:solidFill>
          </w14:textFill>
        </w:rPr>
        <w:fldChar w:fldCharType="begin"/>
      </w:r>
      <w:r>
        <w:rPr>
          <w:rFonts w:ascii="宋体" w:hAnsi="宋体" w:eastAsia="仿宋_GB2312"/>
          <w:szCs w:val="30"/>
        </w:rPr>
        <w:instrText xml:space="preserve"> HYPERLINK \l _Toc12344 </w:instrText>
      </w:r>
      <w:r>
        <w:rPr>
          <w:rFonts w:ascii="宋体" w:hAnsi="宋体" w:eastAsia="仿宋_GB2312"/>
          <w:szCs w:val="30"/>
        </w:rPr>
        <w:fldChar w:fldCharType="separate"/>
      </w:r>
      <w:r>
        <w:rPr>
          <w:rFonts w:hint="eastAsia" w:ascii="方正仿宋_GBK" w:hAnsi="方正仿宋_GBK" w:eastAsia="方正仿宋_GBK" w:cs="方正仿宋_GBK"/>
          <w:szCs w:val="44"/>
        </w:rPr>
        <w:t>第五章 采购合同（草稿）</w:t>
      </w:r>
      <w:r>
        <w:tab/>
      </w:r>
      <w:r>
        <w:fldChar w:fldCharType="begin"/>
      </w:r>
      <w:r>
        <w:instrText xml:space="preserve"> PAGEREF _Toc12344 \h </w:instrText>
      </w:r>
      <w:r>
        <w:fldChar w:fldCharType="separate"/>
      </w:r>
      <w:r>
        <w:t>44</w:t>
      </w:r>
      <w:r>
        <w:fldChar w:fldCharType="end"/>
      </w:r>
      <w:r>
        <w:rPr>
          <w:rFonts w:ascii="宋体" w:hAnsi="宋体" w:eastAsia="仿宋_GB2312"/>
          <w:color w:val="000000" w:themeColor="text1"/>
          <w:szCs w:val="30"/>
          <w14:textFill>
            <w14:solidFill>
              <w14:schemeClr w14:val="tx1"/>
            </w14:solidFill>
          </w14:textFill>
        </w:rPr>
        <w:fldChar w:fldCharType="end"/>
      </w:r>
    </w:p>
    <w:p>
      <w:pPr>
        <w:pStyle w:val="22"/>
        <w:tabs>
          <w:tab w:val="right" w:leader="dot" w:pos="8306"/>
        </w:tabs>
      </w:pPr>
      <w:r>
        <w:rPr>
          <w:rFonts w:ascii="宋体" w:hAnsi="宋体" w:eastAsia="仿宋_GB2312"/>
          <w:color w:val="000000" w:themeColor="text1"/>
          <w:szCs w:val="30"/>
          <w14:textFill>
            <w14:solidFill>
              <w14:schemeClr w14:val="tx1"/>
            </w14:solidFill>
          </w14:textFill>
        </w:rPr>
        <w:fldChar w:fldCharType="begin"/>
      </w:r>
      <w:r>
        <w:rPr>
          <w:rFonts w:ascii="宋体" w:hAnsi="宋体" w:eastAsia="仿宋_GB2312"/>
          <w:szCs w:val="30"/>
        </w:rPr>
        <w:instrText xml:space="preserve"> HYPERLINK \l _Toc3434 </w:instrText>
      </w:r>
      <w:r>
        <w:rPr>
          <w:rFonts w:ascii="宋体" w:hAnsi="宋体" w:eastAsia="仿宋_GB2312"/>
          <w:szCs w:val="30"/>
        </w:rPr>
        <w:fldChar w:fldCharType="separate"/>
      </w:r>
      <w:r>
        <w:rPr>
          <w:rFonts w:hint="eastAsia" w:hAnsi="宋体"/>
          <w:szCs w:val="36"/>
        </w:rPr>
        <w:t>第六章 投标文件格式附件</w:t>
      </w:r>
      <w:r>
        <w:tab/>
      </w:r>
      <w:r>
        <w:fldChar w:fldCharType="begin"/>
      </w:r>
      <w:r>
        <w:instrText xml:space="preserve"> PAGEREF _Toc3434 \h </w:instrText>
      </w:r>
      <w:r>
        <w:fldChar w:fldCharType="separate"/>
      </w:r>
      <w:r>
        <w:t>51</w:t>
      </w:r>
      <w:r>
        <w:fldChar w:fldCharType="end"/>
      </w:r>
      <w:r>
        <w:rPr>
          <w:rFonts w:ascii="宋体" w:hAnsi="宋体" w:eastAsia="仿宋_GB2312"/>
          <w:color w:val="000000" w:themeColor="text1"/>
          <w:szCs w:val="30"/>
          <w14:textFill>
            <w14:solidFill>
              <w14:schemeClr w14:val="tx1"/>
            </w14:solidFill>
          </w14:textFill>
        </w:rPr>
        <w:fldChar w:fldCharType="end"/>
      </w:r>
    </w:p>
    <w:p>
      <w:pPr>
        <w:spacing w:before="156" w:beforeLines="50" w:line="480" w:lineRule="exact"/>
        <w:ind w:left="165"/>
        <w:rPr>
          <w:rFonts w:ascii="宋体" w:hAnsi="宋体" w:eastAsia="仿宋_GB2312"/>
          <w:color w:val="000000" w:themeColor="text1"/>
          <w:sz w:val="30"/>
          <w:szCs w:val="30"/>
          <w14:textFill>
            <w14:solidFill>
              <w14:schemeClr w14:val="tx1"/>
            </w14:solidFill>
          </w14:textFill>
        </w:rPr>
      </w:pPr>
      <w:r>
        <w:rPr>
          <w:rFonts w:ascii="宋体" w:hAnsi="宋体" w:eastAsia="仿宋_GB2312"/>
          <w:color w:val="000000" w:themeColor="text1"/>
          <w:sz w:val="30"/>
          <w:szCs w:val="30"/>
          <w14:textFill>
            <w14:solidFill>
              <w14:schemeClr w14:val="tx1"/>
            </w14:solidFill>
          </w14:textFill>
        </w:rPr>
        <w:fldChar w:fldCharType="end"/>
      </w:r>
    </w:p>
    <w:p>
      <w:pPr>
        <w:pStyle w:val="16"/>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Ansi="宋体" w:eastAsia="仿宋_GB2312"/>
          <w:color w:val="000000" w:themeColor="text1"/>
          <w:sz w:val="32"/>
          <w:szCs w:val="32"/>
          <w14:textFill>
            <w14:solidFill>
              <w14:schemeClr w14:val="tx1"/>
            </w14:solidFill>
          </w14:textFill>
        </w:rPr>
        <w:br w:type="page"/>
      </w:r>
      <w:bookmarkStart w:id="6" w:name="_Toc121226003"/>
      <w:bookmarkStart w:id="7" w:name="_Toc21123"/>
      <w:bookmarkStart w:id="8" w:name="_Toc1594288083"/>
      <w:r>
        <w:rPr>
          <w:rFonts w:hint="eastAsia" w:hAnsi="宋体"/>
          <w:b/>
          <w:color w:val="000000" w:themeColor="text1"/>
          <w:sz w:val="36"/>
          <w:szCs w:val="36"/>
          <w14:textFill>
            <w14:solidFill>
              <w14:schemeClr w14:val="tx1"/>
            </w14:solidFill>
          </w14:textFill>
        </w:rPr>
        <w:t>第一章  公开招标采购公告</w:t>
      </w:r>
      <w:bookmarkEnd w:id="6"/>
      <w:bookmarkEnd w:id="7"/>
      <w:bookmarkEnd w:id="8"/>
    </w:p>
    <w:p>
      <w:pPr>
        <w:spacing w:line="500" w:lineRule="exact"/>
        <w:ind w:firstLine="481" w:firstLineChars="200"/>
        <w:rPr>
          <w:rFonts w:ascii="楷体" w:hAnsi="楷体" w:eastAsia="楷体" w:cs="宋体"/>
          <w:b/>
          <w:bCs/>
          <w:sz w:val="24"/>
        </w:rPr>
      </w:pPr>
      <w:r>
        <w:rPr>
          <w:rFonts w:hint="eastAsia" w:ascii="楷体" w:hAnsi="楷体" w:eastAsia="楷体" w:cs="宋体"/>
          <w:b/>
          <w:bCs/>
          <w:sz w:val="24"/>
        </w:rPr>
        <w:t>国家体育总局体育器材装备中心近日推出“国家体育总局政府集中采购”微信公众号，作为采购信息发布渠道、政策咨询渠道、宣传渠道以及与采购人</w:t>
      </w:r>
      <w:r>
        <w:rPr>
          <w:rFonts w:ascii="楷体" w:hAnsi="楷体" w:eastAsia="楷体" w:cs="宋体"/>
          <w:b/>
          <w:bCs/>
          <w:sz w:val="24"/>
          <w:lang w:val="en"/>
        </w:rPr>
        <w:t>投标人</w:t>
      </w:r>
      <w:r>
        <w:rPr>
          <w:rFonts w:hint="eastAsia" w:ascii="楷体" w:hAnsi="楷体" w:eastAsia="楷体" w:cs="宋体"/>
          <w:b/>
          <w:bCs/>
          <w:sz w:val="24"/>
        </w:rPr>
        <w:t>联系的桥梁。请广大</w:t>
      </w:r>
      <w:r>
        <w:rPr>
          <w:rFonts w:ascii="楷体" w:hAnsi="楷体" w:eastAsia="楷体" w:cs="宋体"/>
          <w:b/>
          <w:bCs/>
          <w:sz w:val="24"/>
          <w:lang w:val="en"/>
        </w:rPr>
        <w:t>投标人</w:t>
      </w:r>
      <w:r>
        <w:rPr>
          <w:rFonts w:hint="eastAsia" w:ascii="楷体" w:hAnsi="楷体" w:eastAsia="楷体" w:cs="宋体"/>
          <w:b/>
          <w:bCs/>
          <w:sz w:val="24"/>
        </w:rPr>
        <w:t>及时关注！除中国政府采购网外也可通过该公众号获取我中心代理实施的相关采购项目信息（如有不一致，以中国政府采购网所公告的项目信息为准）。</w:t>
      </w:r>
    </w:p>
    <w:p>
      <w:pPr>
        <w:spacing w:line="500" w:lineRule="exact"/>
        <w:ind w:firstLine="481" w:firstLineChars="200"/>
        <w:rPr>
          <w:rFonts w:ascii="楷体" w:hAnsi="楷体" w:eastAsia="楷体" w:cs="宋体"/>
          <w:b/>
          <w:bCs/>
          <w:sz w:val="24"/>
        </w:rPr>
      </w:pPr>
      <w:r>
        <w:rPr>
          <w:rFonts w:hint="eastAsia" w:ascii="楷体" w:hAnsi="楷体" w:eastAsia="楷体" w:cs="宋体"/>
          <w:b/>
          <w:bCs/>
          <w:sz w:val="24"/>
        </w:rPr>
        <w:drawing>
          <wp:anchor distT="0" distB="0" distL="114300" distR="114300" simplePos="0" relativeHeight="251659264" behindDoc="0" locked="0" layoutInCell="1" allowOverlap="1">
            <wp:simplePos x="0" y="0"/>
            <wp:positionH relativeFrom="margin">
              <wp:posOffset>1652270</wp:posOffset>
            </wp:positionH>
            <wp:positionV relativeFrom="margin">
              <wp:posOffset>2211705</wp:posOffset>
            </wp:positionV>
            <wp:extent cx="2461260" cy="2461260"/>
            <wp:effectExtent l="0" t="0" r="0" b="0"/>
            <wp:wrapSquare wrapText="bothSides"/>
            <wp:docPr id="1" name="图片 1" descr="C:\Users\ygn\AppData\Local\Temp\WeChat Files\7022c39f3fbc2e01a49ec41f30044fa.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ygn\AppData\Local\Temp\WeChat Files\7022c39f3fbc2e01a49ec41f30044fa.jpg"/>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2461260" cy="2461260"/>
                    </a:xfrm>
                    <a:prstGeom prst="rect">
                      <a:avLst/>
                    </a:prstGeom>
                    <a:noFill/>
                    <a:ln>
                      <a:noFill/>
                    </a:ln>
                  </pic:spPr>
                </pic:pic>
              </a:graphicData>
            </a:graphic>
          </wp:anchor>
        </w:drawing>
      </w:r>
    </w:p>
    <w:p>
      <w:pPr>
        <w:spacing w:line="500" w:lineRule="exact"/>
        <w:ind w:firstLine="481" w:firstLineChars="200"/>
        <w:rPr>
          <w:rFonts w:ascii="楷体" w:hAnsi="楷体" w:eastAsia="楷体" w:cs="宋体"/>
          <w:b/>
          <w:bCs/>
          <w:sz w:val="24"/>
        </w:rPr>
      </w:pPr>
    </w:p>
    <w:p>
      <w:pPr>
        <w:spacing w:line="500" w:lineRule="exact"/>
        <w:ind w:firstLine="481" w:firstLineChars="200"/>
        <w:rPr>
          <w:rFonts w:ascii="楷体" w:hAnsi="楷体" w:eastAsia="楷体" w:cs="宋体"/>
          <w:b/>
          <w:bCs/>
          <w:sz w:val="24"/>
        </w:rPr>
      </w:pPr>
    </w:p>
    <w:p>
      <w:pPr>
        <w:spacing w:line="500" w:lineRule="exact"/>
        <w:ind w:firstLine="481" w:firstLineChars="200"/>
        <w:rPr>
          <w:rFonts w:ascii="楷体" w:hAnsi="楷体" w:eastAsia="楷体" w:cs="宋体"/>
          <w:b/>
          <w:bCs/>
          <w:sz w:val="24"/>
        </w:rPr>
      </w:pPr>
    </w:p>
    <w:p>
      <w:pPr>
        <w:spacing w:line="500" w:lineRule="exact"/>
        <w:ind w:firstLine="481" w:firstLineChars="200"/>
        <w:rPr>
          <w:rFonts w:ascii="楷体" w:hAnsi="楷体" w:eastAsia="楷体" w:cs="宋体"/>
          <w:b/>
          <w:bCs/>
          <w:sz w:val="24"/>
        </w:rPr>
      </w:pPr>
    </w:p>
    <w:p>
      <w:pPr>
        <w:spacing w:line="500" w:lineRule="exact"/>
        <w:ind w:firstLine="481" w:firstLineChars="200"/>
        <w:rPr>
          <w:rFonts w:ascii="楷体" w:hAnsi="楷体" w:eastAsia="楷体" w:cs="宋体"/>
          <w:b/>
          <w:bCs/>
          <w:sz w:val="24"/>
        </w:rPr>
      </w:pPr>
    </w:p>
    <w:p>
      <w:pPr>
        <w:pStyle w:val="53"/>
        <w:widowControl w:val="0"/>
        <w:spacing w:afterLines="0" w:line="460" w:lineRule="exact"/>
        <w:ind w:firstLine="723"/>
        <w:rPr>
          <w:rFonts w:ascii="宋体" w:hAnsi="宋体"/>
          <w:b/>
          <w:color w:val="000000" w:themeColor="text1"/>
          <w:kern w:val="2"/>
          <w:sz w:val="36"/>
          <w:szCs w:val="36"/>
          <w14:textFill>
            <w14:solidFill>
              <w14:schemeClr w14:val="tx1"/>
            </w14:solidFill>
          </w14:textFill>
        </w:rPr>
      </w:pPr>
    </w:p>
    <w:p>
      <w:pPr>
        <w:pStyle w:val="53"/>
        <w:widowControl w:val="0"/>
        <w:spacing w:afterLines="0" w:line="460" w:lineRule="exact"/>
        <w:ind w:firstLine="723"/>
        <w:rPr>
          <w:rFonts w:ascii="宋体" w:hAnsi="宋体"/>
          <w:b/>
          <w:color w:val="000000" w:themeColor="text1"/>
          <w:kern w:val="2"/>
          <w:sz w:val="36"/>
          <w:szCs w:val="36"/>
          <w14:textFill>
            <w14:solidFill>
              <w14:schemeClr w14:val="tx1"/>
            </w14:solidFill>
          </w14:textFill>
        </w:rPr>
      </w:pPr>
    </w:p>
    <w:p>
      <w:pPr>
        <w:pStyle w:val="53"/>
        <w:widowControl w:val="0"/>
        <w:spacing w:afterLines="0" w:line="460" w:lineRule="exact"/>
        <w:ind w:firstLine="723"/>
        <w:rPr>
          <w:rFonts w:ascii="宋体" w:hAnsi="宋体"/>
          <w:b/>
          <w:color w:val="000000" w:themeColor="text1"/>
          <w:kern w:val="2"/>
          <w:sz w:val="36"/>
          <w:szCs w:val="36"/>
          <w14:textFill>
            <w14:solidFill>
              <w14:schemeClr w14:val="tx1"/>
            </w14:solidFill>
          </w14:textFill>
        </w:rPr>
      </w:pPr>
    </w:p>
    <w:p>
      <w:pPr>
        <w:pStyle w:val="53"/>
        <w:widowControl w:val="0"/>
        <w:spacing w:afterLines="0"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中华人民共和国政府采购法实施条例</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政府采购货物和服务招标投标管理办法》等规定，现就下列项目进行公开招标采购，欢迎提供本国货物、服务的</w:t>
      </w:r>
      <w:r>
        <w:rPr>
          <w:rFonts w:ascii="仿宋" w:hAnsi="仿宋" w:eastAsia="仿宋"/>
          <w:color w:val="000000" w:themeColor="text1"/>
          <w:sz w:val="28"/>
          <w:szCs w:val="28"/>
          <w:lang w:val="en"/>
          <w14:textFill>
            <w14:solidFill>
              <w14:schemeClr w14:val="tx1"/>
            </w14:solidFill>
          </w14:textFill>
        </w:rPr>
        <w:t>投标人</w:t>
      </w:r>
      <w:r>
        <w:rPr>
          <w:rFonts w:hint="eastAsia" w:ascii="仿宋" w:hAnsi="仿宋" w:eastAsia="仿宋"/>
          <w:color w:val="000000" w:themeColor="text1"/>
          <w:sz w:val="28"/>
          <w:szCs w:val="28"/>
          <w14:textFill>
            <w14:solidFill>
              <w14:schemeClr w14:val="tx1"/>
            </w14:solidFill>
          </w14:textFill>
        </w:rPr>
        <w:t>前来投标</w:t>
      </w:r>
      <w:r>
        <w:rPr>
          <w:rFonts w:hint="eastAsia" w:ascii="仿宋" w:hAnsi="仿宋" w:eastAsia="仿宋"/>
          <w:color w:val="000000" w:themeColor="text1"/>
          <w:sz w:val="30"/>
          <w:szCs w:val="30"/>
          <w14:textFill>
            <w14:solidFill>
              <w14:schemeClr w14:val="tx1"/>
            </w14:solidFill>
          </w14:textFill>
        </w:rPr>
        <w:t>：</w:t>
      </w:r>
    </w:p>
    <w:p>
      <w:pPr>
        <w:pStyle w:val="53"/>
        <w:widowControl w:val="0"/>
        <w:spacing w:afterLines="0" w:line="460" w:lineRule="exact"/>
        <w:ind w:firstLine="600"/>
        <w:rPr>
          <w:rFonts w:ascii="仿宋" w:hAnsi="仿宋" w:eastAsia="仿宋"/>
          <w:color w:val="000000" w:themeColor="text1"/>
          <w:sz w:val="30"/>
          <w:szCs w:val="30"/>
          <w14:textFill>
            <w14:solidFill>
              <w14:schemeClr w14:val="tx1"/>
            </w14:solidFill>
          </w14:textFill>
        </w:rPr>
      </w:pPr>
    </w:p>
    <w:p>
      <w:pPr>
        <w:numPr>
          <w:ilvl w:val="0"/>
          <w:numId w:val="2"/>
        </w:numPr>
        <w:snapToGrid w:val="0"/>
        <w:spacing w:line="360" w:lineRule="auto"/>
        <w:ind w:left="2108" w:hanging="2108" w:hangingChars="700"/>
        <w:rPr>
          <w:rFonts w:ascii="仿宋" w:hAnsi="仿宋" w:eastAsia="仿宋" w:cs="Arial"/>
          <w:b/>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项目编号：</w:t>
      </w:r>
      <w:r>
        <w:rPr>
          <w:rFonts w:ascii="仿宋" w:hAnsi="仿宋" w:eastAsia="仿宋" w:cs="Arial"/>
          <w:b/>
          <w:color w:val="000000" w:themeColor="text1"/>
          <w:sz w:val="30"/>
          <w:szCs w:val="30"/>
          <w:lang w:val="en"/>
          <w14:textFill>
            <w14:solidFill>
              <w14:schemeClr w14:val="tx1"/>
            </w14:solidFill>
          </w14:textFill>
        </w:rPr>
        <w:t>ZBGN25-01</w:t>
      </w:r>
    </w:p>
    <w:p>
      <w:pPr>
        <w:numPr>
          <w:ilvl w:val="0"/>
          <w:numId w:val="2"/>
        </w:numPr>
        <w:snapToGrid w:val="0"/>
        <w:spacing w:line="360" w:lineRule="auto"/>
        <w:ind w:left="2108" w:hanging="2108" w:hangingChars="700"/>
        <w:rPr>
          <w:rFonts w:ascii="仿宋" w:hAnsi="仿宋" w:eastAsia="仿宋" w:cs="Arial"/>
          <w:b/>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项目名称：</w:t>
      </w:r>
      <w:r>
        <w:rPr>
          <w:rFonts w:ascii="仿宋" w:hAnsi="仿宋" w:eastAsia="仿宋" w:cs="Arial"/>
          <w:b/>
          <w:color w:val="000000" w:themeColor="text1"/>
          <w:sz w:val="30"/>
          <w:szCs w:val="30"/>
          <w:lang w:val="en"/>
          <w14:textFill>
            <w14:solidFill>
              <w14:schemeClr w14:val="tx1"/>
            </w14:solidFill>
          </w14:textFill>
        </w:rPr>
        <w:t>202</w:t>
      </w:r>
      <w:r>
        <w:rPr>
          <w:rFonts w:hint="eastAsia" w:ascii="仿宋" w:hAnsi="仿宋" w:eastAsia="仿宋" w:cs="Arial"/>
          <w:b/>
          <w:color w:val="000000" w:themeColor="text1"/>
          <w:sz w:val="30"/>
          <w:szCs w:val="30"/>
          <w14:textFill>
            <w14:solidFill>
              <w14:schemeClr w14:val="tx1"/>
            </w14:solidFill>
          </w14:textFill>
        </w:rPr>
        <w:t>5</w:t>
      </w:r>
      <w:r>
        <w:rPr>
          <w:rFonts w:ascii="仿宋" w:hAnsi="仿宋" w:eastAsia="仿宋" w:cs="Arial"/>
          <w:b/>
          <w:color w:val="000000" w:themeColor="text1"/>
          <w:sz w:val="30"/>
          <w:szCs w:val="30"/>
          <w:lang w:val="en"/>
          <w14:textFill>
            <w14:solidFill>
              <w14:schemeClr w14:val="tx1"/>
            </w14:solidFill>
          </w14:textFill>
        </w:rPr>
        <w:t>年全国青少年体育信息工作平台升级改造</w:t>
      </w:r>
      <w:r>
        <w:rPr>
          <w:rFonts w:hint="eastAsia" w:ascii="仿宋" w:hAnsi="仿宋" w:eastAsia="仿宋" w:cs="Arial"/>
          <w:b/>
          <w:color w:val="000000" w:themeColor="text1"/>
          <w:sz w:val="30"/>
          <w:szCs w:val="30"/>
          <w:lang w:val="en"/>
          <w14:textFill>
            <w14:solidFill>
              <w14:schemeClr w14:val="tx1"/>
            </w14:solidFill>
          </w14:textFill>
        </w:rPr>
        <w:t>项目</w:t>
      </w:r>
    </w:p>
    <w:p>
      <w:pPr>
        <w:snapToGrid w:val="0"/>
        <w:spacing w:line="360" w:lineRule="auto"/>
        <w:rPr>
          <w:rFonts w:ascii="仿宋" w:hAnsi="仿宋" w:eastAsia="仿宋" w:cs="Arial"/>
          <w:b/>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三、公告期限：5个工作日</w:t>
      </w:r>
    </w:p>
    <w:p>
      <w:pPr>
        <w:snapToGrid w:val="0"/>
        <w:spacing w:line="360" w:lineRule="auto"/>
        <w:rPr>
          <w:rFonts w:ascii="仿宋" w:hAnsi="仿宋" w:eastAsia="仿宋" w:cs="Arial"/>
          <w:b/>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四、采购项目内容、数量及预算</w:t>
      </w:r>
      <w:bookmarkStart w:id="9" w:name="PO_15528_PM004"/>
    </w:p>
    <w:tbl>
      <w:tblPr>
        <w:tblStyle w:val="29"/>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88"/>
        <w:gridCol w:w="1350"/>
        <w:gridCol w:w="2007"/>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31" w:type="dxa"/>
          </w:tcPr>
          <w:p>
            <w:pPr>
              <w:snapToGrid w:val="0"/>
              <w:spacing w:after="156" w:afterLines="50" w:line="460" w:lineRule="exact"/>
              <w:rPr>
                <w:rFonts w:ascii="仿宋" w:hAnsi="仿宋" w:eastAsia="仿宋" w:cs="Arial"/>
                <w:b/>
                <w:color w:val="000000" w:themeColor="text1"/>
                <w:kern w:val="0"/>
                <w:sz w:val="28"/>
                <w:szCs w:val="28"/>
                <w14:textFill>
                  <w14:solidFill>
                    <w14:schemeClr w14:val="tx1"/>
                  </w14:solidFill>
                </w14:textFill>
              </w:rPr>
            </w:pPr>
            <w:r>
              <w:rPr>
                <w:rFonts w:hint="eastAsia" w:ascii="仿宋" w:hAnsi="仿宋" w:eastAsia="仿宋" w:cs="Arial"/>
                <w:b/>
                <w:color w:val="000000" w:themeColor="text1"/>
                <w:kern w:val="0"/>
                <w:sz w:val="28"/>
                <w:szCs w:val="28"/>
                <w14:textFill>
                  <w14:solidFill>
                    <w14:schemeClr w14:val="tx1"/>
                  </w14:solidFill>
                </w14:textFill>
              </w:rPr>
              <w:t>标项序号</w:t>
            </w:r>
          </w:p>
        </w:tc>
        <w:tc>
          <w:tcPr>
            <w:tcW w:w="2988" w:type="dxa"/>
          </w:tcPr>
          <w:p>
            <w:pPr>
              <w:snapToGrid w:val="0"/>
              <w:spacing w:after="156" w:afterLines="50" w:line="460" w:lineRule="exact"/>
              <w:rPr>
                <w:rFonts w:ascii="仿宋" w:hAnsi="仿宋" w:eastAsia="仿宋" w:cs="Arial"/>
                <w:b/>
                <w:color w:val="000000" w:themeColor="text1"/>
                <w:kern w:val="0"/>
                <w:sz w:val="28"/>
                <w:szCs w:val="28"/>
                <w14:textFill>
                  <w14:solidFill>
                    <w14:schemeClr w14:val="tx1"/>
                  </w14:solidFill>
                </w14:textFill>
              </w:rPr>
            </w:pPr>
            <w:r>
              <w:rPr>
                <w:rFonts w:hint="eastAsia" w:ascii="仿宋" w:hAnsi="仿宋" w:eastAsia="仿宋" w:cs="Arial"/>
                <w:b/>
                <w:color w:val="000000" w:themeColor="text1"/>
                <w:kern w:val="0"/>
                <w:sz w:val="28"/>
                <w:szCs w:val="28"/>
                <w14:textFill>
                  <w14:solidFill>
                    <w14:schemeClr w14:val="tx1"/>
                  </w14:solidFill>
                </w14:textFill>
              </w:rPr>
              <w:t>标项名称</w:t>
            </w:r>
          </w:p>
        </w:tc>
        <w:tc>
          <w:tcPr>
            <w:tcW w:w="1350" w:type="dxa"/>
          </w:tcPr>
          <w:p>
            <w:pPr>
              <w:snapToGrid w:val="0"/>
              <w:spacing w:after="156" w:afterLines="50" w:line="460" w:lineRule="exact"/>
              <w:jc w:val="left"/>
              <w:rPr>
                <w:rFonts w:ascii="仿宋" w:hAnsi="仿宋" w:eastAsia="仿宋" w:cs="Arial"/>
                <w:b/>
                <w:color w:val="000000" w:themeColor="text1"/>
                <w:kern w:val="0"/>
                <w:sz w:val="28"/>
                <w:szCs w:val="28"/>
                <w14:textFill>
                  <w14:solidFill>
                    <w14:schemeClr w14:val="tx1"/>
                  </w14:solidFill>
                </w14:textFill>
              </w:rPr>
            </w:pPr>
            <w:r>
              <w:rPr>
                <w:rFonts w:hint="eastAsia" w:ascii="仿宋" w:hAnsi="仿宋" w:eastAsia="仿宋" w:cs="Arial"/>
                <w:b/>
                <w:color w:val="000000" w:themeColor="text1"/>
                <w:kern w:val="0"/>
                <w:sz w:val="28"/>
                <w:szCs w:val="28"/>
                <w14:textFill>
                  <w14:solidFill>
                    <w14:schemeClr w14:val="tx1"/>
                  </w14:solidFill>
                </w14:textFill>
              </w:rPr>
              <w:t>预算金额</w:t>
            </w:r>
            <w:r>
              <w:rPr>
                <w:rFonts w:ascii="仿宋" w:hAnsi="仿宋" w:eastAsia="仿宋" w:cs="Arial"/>
                <w:b/>
                <w:color w:val="000000" w:themeColor="text1"/>
                <w:kern w:val="0"/>
                <w:sz w:val="28"/>
                <w:szCs w:val="28"/>
                <w14:textFill>
                  <w14:solidFill>
                    <w14:schemeClr w14:val="tx1"/>
                  </w14:solidFill>
                </w14:textFill>
              </w:rPr>
              <w:t>(万元)</w:t>
            </w:r>
          </w:p>
        </w:tc>
        <w:tc>
          <w:tcPr>
            <w:tcW w:w="2007" w:type="dxa"/>
          </w:tcPr>
          <w:p>
            <w:pPr>
              <w:snapToGrid w:val="0"/>
              <w:spacing w:after="156" w:afterLines="50" w:line="460" w:lineRule="exact"/>
              <w:rPr>
                <w:rFonts w:ascii="仿宋" w:hAnsi="仿宋" w:eastAsia="仿宋" w:cs="Arial"/>
                <w:b/>
                <w:color w:val="000000" w:themeColor="text1"/>
                <w:kern w:val="0"/>
                <w:sz w:val="28"/>
                <w:szCs w:val="28"/>
                <w14:textFill>
                  <w14:solidFill>
                    <w14:schemeClr w14:val="tx1"/>
                  </w14:solidFill>
                </w14:textFill>
              </w:rPr>
            </w:pPr>
            <w:r>
              <w:rPr>
                <w:rFonts w:hint="eastAsia" w:ascii="仿宋" w:hAnsi="仿宋" w:eastAsia="仿宋" w:cs="Arial"/>
                <w:b/>
                <w:color w:val="000000" w:themeColor="text1"/>
                <w:kern w:val="0"/>
                <w:sz w:val="28"/>
                <w:szCs w:val="28"/>
                <w14:textFill>
                  <w14:solidFill>
                    <w14:schemeClr w14:val="tx1"/>
                  </w14:solidFill>
                </w14:textFill>
              </w:rPr>
              <w:t>简要规格描述或标项基本概况介绍</w:t>
            </w:r>
          </w:p>
        </w:tc>
        <w:tc>
          <w:tcPr>
            <w:tcW w:w="1594" w:type="dxa"/>
          </w:tcPr>
          <w:p>
            <w:pPr>
              <w:snapToGrid w:val="0"/>
              <w:spacing w:after="156" w:afterLines="50" w:line="460" w:lineRule="exact"/>
              <w:rPr>
                <w:rFonts w:ascii="仿宋" w:hAnsi="仿宋" w:eastAsia="仿宋" w:cs="Arial"/>
                <w:b/>
                <w:color w:val="000000" w:themeColor="text1"/>
                <w:kern w:val="0"/>
                <w:sz w:val="28"/>
                <w:szCs w:val="28"/>
                <w14:textFill>
                  <w14:solidFill>
                    <w14:schemeClr w14:val="tx1"/>
                  </w14:solidFill>
                </w14:textFill>
              </w:rPr>
            </w:pPr>
            <w:r>
              <w:rPr>
                <w:rFonts w:hint="eastAsia" w:ascii="仿宋" w:hAnsi="仿宋" w:eastAsia="仿宋" w:cs="Arial"/>
                <w:b/>
                <w:color w:val="000000" w:themeColor="text1"/>
                <w:kern w:val="0"/>
                <w:sz w:val="28"/>
                <w:szCs w:val="28"/>
                <w14:textFill>
                  <w14:solidFill>
                    <w14:schemeClr w14:val="tx1"/>
                  </w14:solidFill>
                </w14:textFill>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831" w:type="dxa"/>
            <w:vAlign w:val="center"/>
          </w:tcPr>
          <w:p>
            <w:pPr>
              <w:snapToGrid w:val="0"/>
              <w:spacing w:after="156" w:afterLines="50" w:line="460" w:lineRule="exact"/>
              <w:jc w:val="center"/>
              <w:rPr>
                <w:rFonts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14:textFill>
                  <w14:solidFill>
                    <w14:schemeClr w14:val="tx1"/>
                  </w14:solidFill>
                </w14:textFill>
              </w:rPr>
              <w:t>1</w:t>
            </w:r>
          </w:p>
        </w:tc>
        <w:tc>
          <w:tcPr>
            <w:tcW w:w="2988" w:type="dxa"/>
            <w:vAlign w:val="center"/>
          </w:tcPr>
          <w:p>
            <w:pPr>
              <w:snapToGrid w:val="0"/>
              <w:spacing w:after="156" w:afterLines="50" w:line="460" w:lineRule="exact"/>
              <w:jc w:val="left"/>
              <w:rPr>
                <w:rFonts w:ascii="仿宋" w:hAnsi="仿宋" w:eastAsia="仿宋" w:cs="Arial"/>
                <w:bCs/>
                <w:color w:val="000000" w:themeColor="text1"/>
                <w:kern w:val="0"/>
                <w:sz w:val="28"/>
                <w:szCs w:val="28"/>
                <w:lang w:val="en"/>
                <w14:textFill>
                  <w14:solidFill>
                    <w14:schemeClr w14:val="tx1"/>
                  </w14:solidFill>
                </w14:textFill>
              </w:rPr>
            </w:pPr>
            <w:r>
              <w:rPr>
                <w:rFonts w:ascii="仿宋" w:hAnsi="仿宋" w:eastAsia="仿宋" w:cs="Arial"/>
                <w:bCs/>
                <w:color w:val="000000" w:themeColor="text1"/>
                <w:kern w:val="0"/>
                <w:sz w:val="28"/>
                <w:szCs w:val="28"/>
                <w14:textFill>
                  <w14:solidFill>
                    <w14:schemeClr w14:val="tx1"/>
                  </w14:solidFill>
                </w14:textFill>
              </w:rPr>
              <w:t>202</w:t>
            </w:r>
            <w:r>
              <w:rPr>
                <w:rFonts w:hint="eastAsia" w:ascii="仿宋" w:hAnsi="仿宋" w:eastAsia="仿宋" w:cs="Arial"/>
                <w:bCs/>
                <w:color w:val="000000" w:themeColor="text1"/>
                <w:kern w:val="0"/>
                <w:sz w:val="28"/>
                <w:szCs w:val="28"/>
                <w14:textFill>
                  <w14:solidFill>
                    <w14:schemeClr w14:val="tx1"/>
                  </w14:solidFill>
                </w14:textFill>
              </w:rPr>
              <w:t>5</w:t>
            </w:r>
            <w:r>
              <w:rPr>
                <w:rFonts w:ascii="仿宋" w:hAnsi="仿宋" w:eastAsia="仿宋" w:cs="Arial"/>
                <w:bCs/>
                <w:color w:val="000000" w:themeColor="text1"/>
                <w:kern w:val="0"/>
                <w:sz w:val="28"/>
                <w:szCs w:val="28"/>
                <w14:textFill>
                  <w14:solidFill>
                    <w14:schemeClr w14:val="tx1"/>
                  </w14:solidFill>
                </w14:textFill>
              </w:rPr>
              <w:t>年全国青少年体育信息工作平台升级改造</w:t>
            </w:r>
            <w:r>
              <w:rPr>
                <w:rFonts w:hint="eastAsia" w:ascii="仿宋" w:hAnsi="仿宋" w:eastAsia="仿宋" w:cs="Arial"/>
                <w:bCs/>
                <w:color w:val="000000" w:themeColor="text1"/>
                <w:kern w:val="0"/>
                <w:sz w:val="28"/>
                <w:szCs w:val="28"/>
                <w14:textFill>
                  <w14:solidFill>
                    <w14:schemeClr w14:val="tx1"/>
                  </w14:solidFill>
                </w14:textFill>
              </w:rPr>
              <w:t>项目</w:t>
            </w:r>
          </w:p>
        </w:tc>
        <w:tc>
          <w:tcPr>
            <w:tcW w:w="1350" w:type="dxa"/>
            <w:vAlign w:val="center"/>
          </w:tcPr>
          <w:p>
            <w:pPr>
              <w:snapToGrid w:val="0"/>
              <w:spacing w:after="156" w:afterLines="50" w:line="460" w:lineRule="exact"/>
              <w:jc w:val="center"/>
              <w:rPr>
                <w:rFonts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14:textFill>
                  <w14:solidFill>
                    <w14:schemeClr w14:val="tx1"/>
                  </w14:solidFill>
                </w14:textFill>
              </w:rPr>
              <w:t>680</w:t>
            </w:r>
          </w:p>
        </w:tc>
        <w:tc>
          <w:tcPr>
            <w:tcW w:w="2007" w:type="dxa"/>
            <w:vAlign w:val="center"/>
          </w:tcPr>
          <w:p>
            <w:pPr>
              <w:snapToGrid w:val="0"/>
              <w:spacing w:after="156" w:afterLines="50" w:line="460" w:lineRule="exact"/>
              <w:jc w:val="center"/>
              <w:rPr>
                <w:rFonts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14:textFill>
                  <w14:solidFill>
                    <w14:schemeClr w14:val="tx1"/>
                  </w14:solidFill>
                </w14:textFill>
              </w:rPr>
              <w:t>详见采购需求部分</w:t>
            </w:r>
          </w:p>
        </w:tc>
        <w:tc>
          <w:tcPr>
            <w:tcW w:w="1594" w:type="dxa"/>
            <w:vAlign w:val="center"/>
          </w:tcPr>
          <w:p>
            <w:pPr>
              <w:snapToGrid w:val="0"/>
              <w:spacing w:after="156" w:afterLines="50" w:line="460" w:lineRule="exact"/>
              <w:jc w:val="center"/>
              <w:rPr>
                <w:rFonts w:ascii="仿宋" w:hAnsi="仿宋" w:eastAsia="仿宋" w:cs="Arial"/>
                <w:bCs/>
                <w:color w:val="000000" w:themeColor="text1"/>
                <w:kern w:val="0"/>
                <w:sz w:val="28"/>
                <w:szCs w:val="28"/>
                <w14:textFill>
                  <w14:solidFill>
                    <w14:schemeClr w14:val="tx1"/>
                  </w14:solidFill>
                </w14:textFill>
              </w:rPr>
            </w:pPr>
            <w:r>
              <w:rPr>
                <w:rFonts w:hint="eastAsia" w:ascii="仿宋" w:hAnsi="仿宋" w:eastAsia="仿宋" w:cs="Arial"/>
                <w:bCs/>
                <w:color w:val="000000" w:themeColor="text1"/>
                <w:kern w:val="0"/>
                <w:sz w:val="28"/>
                <w:szCs w:val="28"/>
                <w14:textFill>
                  <w14:solidFill>
                    <w14:schemeClr w14:val="tx1"/>
                  </w14:solidFill>
                </w14:textFill>
              </w:rPr>
              <w:t>680</w:t>
            </w:r>
          </w:p>
        </w:tc>
      </w:tr>
      <w:bookmarkEnd w:id="9"/>
    </w:tbl>
    <w:p>
      <w:pPr>
        <w:snapToGrid w:val="0"/>
        <w:spacing w:line="460" w:lineRule="exact"/>
        <w:rPr>
          <w:rFonts w:ascii="仿宋" w:hAnsi="仿宋" w:eastAsia="仿宋" w:cs="Arial"/>
          <w:b/>
          <w:bCs/>
          <w:color w:val="000000" w:themeColor="text1"/>
          <w:sz w:val="30"/>
          <w:szCs w:val="30"/>
          <w14:textFill>
            <w14:solidFill>
              <w14:schemeClr w14:val="tx1"/>
            </w14:solidFill>
          </w14:textFill>
        </w:rPr>
      </w:pPr>
    </w:p>
    <w:p>
      <w:pPr>
        <w:snapToGrid w:val="0"/>
        <w:spacing w:line="460" w:lineRule="exact"/>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五、合格投标人的资格要求</w:t>
      </w:r>
    </w:p>
    <w:p>
      <w:pPr>
        <w:pStyle w:val="52"/>
        <w:numPr>
          <w:ilvl w:val="0"/>
          <w:numId w:val="3"/>
        </w:numPr>
        <w:snapToGrid w:val="0"/>
        <w:spacing w:line="440" w:lineRule="exact"/>
        <w:ind w:left="993" w:hanging="567" w:firstLineChars="0"/>
        <w:jc w:val="left"/>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t>在中华人民共和国境内注册，能够独立承担民事责任，有生产或供应能力的</w:t>
      </w:r>
      <w:r>
        <w:rPr>
          <w:rFonts w:ascii="仿宋" w:hAnsi="仿宋" w:eastAsia="仿宋"/>
          <w:color w:val="000000" w:themeColor="text1"/>
          <w:kern w:val="0"/>
          <w:sz w:val="30"/>
          <w:szCs w:val="30"/>
          <w:lang w:val="en"/>
          <w14:textFill>
            <w14:solidFill>
              <w14:schemeClr w14:val="tx1"/>
            </w14:solidFill>
          </w14:textFill>
        </w:rPr>
        <w:t>投标人</w:t>
      </w:r>
      <w:r>
        <w:rPr>
          <w:rFonts w:hint="eastAsia" w:ascii="仿宋" w:hAnsi="仿宋" w:eastAsia="仿宋"/>
          <w:color w:val="000000" w:themeColor="text1"/>
          <w:kern w:val="0"/>
          <w:sz w:val="30"/>
          <w:szCs w:val="30"/>
          <w14:textFill>
            <w14:solidFill>
              <w14:schemeClr w14:val="tx1"/>
            </w14:solidFill>
          </w14:textFill>
        </w:rPr>
        <w:t>；</w:t>
      </w:r>
    </w:p>
    <w:p>
      <w:pPr>
        <w:pStyle w:val="52"/>
        <w:numPr>
          <w:ilvl w:val="0"/>
          <w:numId w:val="3"/>
        </w:numPr>
        <w:snapToGrid w:val="0"/>
        <w:spacing w:line="440" w:lineRule="exact"/>
        <w:ind w:hanging="567" w:firstLineChars="0"/>
        <w:jc w:val="left"/>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t>符合《中华人民共和国政府采购法》第二十二条的规定；</w:t>
      </w:r>
    </w:p>
    <w:p>
      <w:pPr>
        <w:pStyle w:val="52"/>
        <w:numPr>
          <w:ilvl w:val="0"/>
          <w:numId w:val="3"/>
        </w:numPr>
        <w:snapToGrid w:val="0"/>
        <w:spacing w:line="440" w:lineRule="exact"/>
        <w:ind w:hanging="567" w:firstLineChars="0"/>
        <w:jc w:val="left"/>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t>投标人不得为信用中国网站（www.creditchina.gov.cn）中列入失信被执行人和重大税收违法案件当事人名单的</w:t>
      </w:r>
      <w:r>
        <w:rPr>
          <w:rFonts w:ascii="仿宋" w:hAnsi="仿宋" w:eastAsia="仿宋"/>
          <w:color w:val="000000" w:themeColor="text1"/>
          <w:kern w:val="0"/>
          <w:sz w:val="30"/>
          <w:szCs w:val="30"/>
          <w:lang w:val="en"/>
          <w14:textFill>
            <w14:solidFill>
              <w14:schemeClr w14:val="tx1"/>
            </w14:solidFill>
          </w14:textFill>
        </w:rPr>
        <w:t>投标人</w:t>
      </w:r>
      <w:r>
        <w:rPr>
          <w:rFonts w:hint="eastAsia" w:ascii="仿宋" w:hAnsi="仿宋" w:eastAsia="仿宋"/>
          <w:color w:val="000000" w:themeColor="text1"/>
          <w:kern w:val="0"/>
          <w:sz w:val="30"/>
          <w:szCs w:val="30"/>
          <w14:textFill>
            <w14:solidFill>
              <w14:schemeClr w14:val="tx1"/>
            </w14:solidFill>
          </w14:textFill>
        </w:rPr>
        <w:t>，不得为中国政府采购网（www.ccgp.gov.cn）政府采购严重违法失信行为记录名单中的</w:t>
      </w:r>
      <w:r>
        <w:rPr>
          <w:rFonts w:ascii="仿宋" w:hAnsi="仿宋" w:eastAsia="仿宋"/>
          <w:color w:val="000000" w:themeColor="text1"/>
          <w:kern w:val="0"/>
          <w:sz w:val="30"/>
          <w:szCs w:val="30"/>
          <w:lang w:val="en"/>
          <w14:textFill>
            <w14:solidFill>
              <w14:schemeClr w14:val="tx1"/>
            </w14:solidFill>
          </w14:textFill>
        </w:rPr>
        <w:t>投标人</w:t>
      </w:r>
      <w:r>
        <w:rPr>
          <w:rFonts w:hint="eastAsia" w:ascii="仿宋" w:hAnsi="仿宋" w:eastAsia="仿宋"/>
          <w:color w:val="000000" w:themeColor="text1"/>
          <w:kern w:val="0"/>
          <w:sz w:val="30"/>
          <w:szCs w:val="30"/>
          <w14:textFill>
            <w14:solidFill>
              <w14:schemeClr w14:val="tx1"/>
            </w14:solidFill>
          </w14:textFill>
        </w:rPr>
        <w:t>（处罚决定规定的时间和地域范围内）；</w:t>
      </w:r>
    </w:p>
    <w:p>
      <w:pPr>
        <w:pStyle w:val="52"/>
        <w:numPr>
          <w:ilvl w:val="0"/>
          <w:numId w:val="3"/>
        </w:numPr>
        <w:snapToGrid w:val="0"/>
        <w:spacing w:line="440" w:lineRule="exact"/>
        <w:ind w:hanging="567" w:firstLineChars="0"/>
        <w:jc w:val="left"/>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单位负责人为同一人或者存在</w:t>
      </w:r>
      <w:r>
        <w:rPr>
          <w:rFonts w:hint="eastAsia" w:ascii="仿宋" w:hAnsi="仿宋" w:eastAsia="仿宋"/>
          <w:color w:val="000000" w:themeColor="text1"/>
          <w:kern w:val="0"/>
          <w:sz w:val="30"/>
          <w:szCs w:val="30"/>
          <w14:textFill>
            <w14:solidFill>
              <w14:schemeClr w14:val="tx1"/>
            </w14:solidFill>
          </w14:textFill>
        </w:rPr>
        <w:t>直接</w:t>
      </w:r>
      <w:r>
        <w:rPr>
          <w:rFonts w:ascii="仿宋" w:hAnsi="仿宋" w:eastAsia="仿宋"/>
          <w:color w:val="000000" w:themeColor="text1"/>
          <w:kern w:val="0"/>
          <w:sz w:val="30"/>
          <w:szCs w:val="30"/>
          <w14:textFill>
            <w14:solidFill>
              <w14:schemeClr w14:val="tx1"/>
            </w14:solidFill>
          </w14:textFill>
        </w:rPr>
        <w:t>控股、管理关系的不同</w:t>
      </w:r>
      <w:r>
        <w:rPr>
          <w:rFonts w:ascii="仿宋" w:hAnsi="仿宋" w:eastAsia="仿宋"/>
          <w:color w:val="000000" w:themeColor="text1"/>
          <w:kern w:val="0"/>
          <w:sz w:val="30"/>
          <w:szCs w:val="30"/>
          <w:lang w:val="en"/>
          <w14:textFill>
            <w14:solidFill>
              <w14:schemeClr w14:val="tx1"/>
            </w14:solidFill>
          </w14:textFill>
        </w:rPr>
        <w:t>投标人</w:t>
      </w:r>
      <w:r>
        <w:rPr>
          <w:rFonts w:ascii="仿宋" w:hAnsi="仿宋" w:eastAsia="仿宋"/>
          <w:color w:val="000000" w:themeColor="text1"/>
          <w:kern w:val="0"/>
          <w:sz w:val="30"/>
          <w:szCs w:val="30"/>
          <w14:textFill>
            <w14:solidFill>
              <w14:schemeClr w14:val="tx1"/>
            </w14:solidFill>
          </w14:textFill>
        </w:rPr>
        <w:t>，不得参加同一分包的政府采购活动</w:t>
      </w:r>
      <w:r>
        <w:rPr>
          <w:rFonts w:hint="eastAsia" w:ascii="仿宋" w:hAnsi="仿宋" w:eastAsia="仿宋"/>
          <w:color w:val="000000" w:themeColor="text1"/>
          <w:kern w:val="0"/>
          <w:sz w:val="30"/>
          <w:szCs w:val="30"/>
          <w14:textFill>
            <w14:solidFill>
              <w14:schemeClr w14:val="tx1"/>
            </w14:solidFill>
          </w14:textFill>
        </w:rPr>
        <w:t>；</w:t>
      </w:r>
    </w:p>
    <w:p>
      <w:pPr>
        <w:pStyle w:val="52"/>
        <w:numPr>
          <w:ilvl w:val="0"/>
          <w:numId w:val="3"/>
        </w:numPr>
        <w:snapToGrid w:val="0"/>
        <w:spacing w:line="440" w:lineRule="exact"/>
        <w:ind w:hanging="567" w:firstLineChars="0"/>
        <w:jc w:val="left"/>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t>本项目接受联合体投标；</w:t>
      </w:r>
    </w:p>
    <w:p>
      <w:pPr>
        <w:pStyle w:val="52"/>
        <w:numPr>
          <w:ilvl w:val="0"/>
          <w:numId w:val="3"/>
        </w:numPr>
        <w:snapToGrid w:val="0"/>
        <w:spacing w:line="440" w:lineRule="exact"/>
        <w:ind w:hanging="567" w:firstLineChars="0"/>
        <w:jc w:val="left"/>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本项目不接受转包、分包；</w:t>
      </w:r>
    </w:p>
    <w:p>
      <w:pPr>
        <w:pStyle w:val="52"/>
        <w:numPr>
          <w:ilvl w:val="0"/>
          <w:numId w:val="3"/>
        </w:numPr>
        <w:spacing w:line="440" w:lineRule="exact"/>
        <w:ind w:hanging="567" w:firstLineChars="0"/>
        <w:jc w:val="left"/>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投标人的特定条件：</w:t>
      </w:r>
      <w:r>
        <w:rPr>
          <w:rFonts w:hint="eastAsia" w:ascii="仿宋" w:hAnsi="仿宋" w:eastAsia="仿宋"/>
          <w:color w:val="000000" w:themeColor="text1"/>
          <w:kern w:val="0"/>
          <w:sz w:val="30"/>
          <w:szCs w:val="30"/>
          <w14:textFill>
            <w14:solidFill>
              <w14:schemeClr w14:val="tx1"/>
            </w14:solidFill>
          </w14:textFill>
        </w:rPr>
        <w:t>无</w:t>
      </w:r>
    </w:p>
    <w:p>
      <w:pPr>
        <w:snapToGrid w:val="0"/>
        <w:spacing w:line="440" w:lineRule="exact"/>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六、投标登记：</w:t>
      </w:r>
    </w:p>
    <w:p>
      <w:pPr>
        <w:snapToGrid w:val="0"/>
        <w:spacing w:line="44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t>1、登记时间：</w:t>
      </w:r>
      <w:r>
        <w:rPr>
          <w:rFonts w:ascii="仿宋" w:hAnsi="仿宋" w:eastAsia="仿宋"/>
          <w:color w:val="000000" w:themeColor="text1"/>
          <w:kern w:val="0"/>
          <w:sz w:val="30"/>
          <w:szCs w:val="30"/>
          <w14:textFill>
            <w14:solidFill>
              <w14:schemeClr w14:val="tx1"/>
            </w14:solidFill>
          </w14:textFill>
        </w:rPr>
        <w:t>202</w:t>
      </w:r>
      <w:r>
        <w:rPr>
          <w:rFonts w:hint="eastAsia" w:ascii="仿宋" w:hAnsi="仿宋" w:eastAsia="仿宋"/>
          <w:color w:val="000000" w:themeColor="text1"/>
          <w:kern w:val="0"/>
          <w:sz w:val="30"/>
          <w:szCs w:val="30"/>
          <w14:textFill>
            <w14:solidFill>
              <w14:schemeClr w14:val="tx1"/>
            </w14:solidFill>
          </w14:textFill>
        </w:rPr>
        <w:t>5</w:t>
      </w:r>
      <w:r>
        <w:rPr>
          <w:rFonts w:ascii="仿宋" w:hAnsi="仿宋" w:eastAsia="仿宋"/>
          <w:color w:val="000000" w:themeColor="text1"/>
          <w:kern w:val="0"/>
          <w:sz w:val="30"/>
          <w:szCs w:val="30"/>
          <w14:textFill>
            <w14:solidFill>
              <w14:schemeClr w14:val="tx1"/>
            </w14:solidFill>
          </w14:textFill>
        </w:rPr>
        <w:t>年</w:t>
      </w:r>
      <w:r>
        <w:rPr>
          <w:rFonts w:hint="default" w:ascii="仿宋" w:hAnsi="仿宋" w:eastAsia="仿宋"/>
          <w:color w:val="000000" w:themeColor="text1"/>
          <w:kern w:val="0"/>
          <w:sz w:val="30"/>
          <w:szCs w:val="30"/>
          <w:lang w:val="en"/>
          <w14:textFill>
            <w14:solidFill>
              <w14:schemeClr w14:val="tx1"/>
            </w14:solidFill>
          </w14:textFill>
        </w:rPr>
        <w:t>4</w:t>
      </w:r>
      <w:r>
        <w:rPr>
          <w:rFonts w:ascii="仿宋" w:hAnsi="仿宋" w:eastAsia="仿宋"/>
          <w:color w:val="000000" w:themeColor="text1"/>
          <w:kern w:val="0"/>
          <w:sz w:val="30"/>
          <w:szCs w:val="30"/>
          <w14:textFill>
            <w14:solidFill>
              <w14:schemeClr w14:val="tx1"/>
            </w14:solidFill>
          </w14:textFill>
        </w:rPr>
        <w:t>月</w:t>
      </w:r>
      <w:r>
        <w:rPr>
          <w:rFonts w:hint="default" w:ascii="仿宋" w:hAnsi="仿宋" w:eastAsia="仿宋"/>
          <w:color w:val="000000" w:themeColor="text1"/>
          <w:kern w:val="0"/>
          <w:sz w:val="30"/>
          <w:szCs w:val="30"/>
          <w:lang w:val="en"/>
          <w14:textFill>
            <w14:solidFill>
              <w14:schemeClr w14:val="tx1"/>
            </w14:solidFill>
          </w14:textFill>
        </w:rPr>
        <w:t>30</w:t>
      </w:r>
      <w:r>
        <w:rPr>
          <w:rFonts w:ascii="仿宋" w:hAnsi="仿宋" w:eastAsia="仿宋"/>
          <w:color w:val="000000" w:themeColor="text1"/>
          <w:kern w:val="0"/>
          <w:sz w:val="30"/>
          <w:szCs w:val="30"/>
          <w14:textFill>
            <w14:solidFill>
              <w14:schemeClr w14:val="tx1"/>
            </w14:solidFill>
          </w14:textFill>
        </w:rPr>
        <w:t>日</w:t>
      </w:r>
      <w:r>
        <w:rPr>
          <w:rFonts w:hint="eastAsia" w:ascii="仿宋" w:hAnsi="仿宋" w:eastAsia="仿宋"/>
          <w:color w:val="000000" w:themeColor="text1"/>
          <w:kern w:val="0"/>
          <w:sz w:val="30"/>
          <w:szCs w:val="30"/>
          <w14:textFill>
            <w14:solidFill>
              <w14:schemeClr w14:val="tx1"/>
            </w14:solidFill>
          </w14:textFill>
        </w:rPr>
        <w:t>至2025年</w:t>
      </w:r>
      <w:r>
        <w:rPr>
          <w:rFonts w:hint="default" w:ascii="仿宋" w:hAnsi="仿宋" w:eastAsia="仿宋"/>
          <w:color w:val="000000" w:themeColor="text1"/>
          <w:kern w:val="0"/>
          <w:sz w:val="30"/>
          <w:szCs w:val="30"/>
          <w:lang w:val="en"/>
          <w14:textFill>
            <w14:solidFill>
              <w14:schemeClr w14:val="tx1"/>
            </w14:solidFill>
          </w14:textFill>
        </w:rPr>
        <w:t>5</w:t>
      </w:r>
      <w:r>
        <w:rPr>
          <w:rFonts w:hint="eastAsia" w:ascii="仿宋" w:hAnsi="仿宋" w:eastAsia="仿宋"/>
          <w:color w:val="000000" w:themeColor="text1"/>
          <w:kern w:val="0"/>
          <w:sz w:val="30"/>
          <w:szCs w:val="30"/>
          <w14:textFill>
            <w14:solidFill>
              <w14:schemeClr w14:val="tx1"/>
            </w14:solidFill>
          </w14:textFill>
        </w:rPr>
        <w:t>月</w:t>
      </w:r>
      <w:r>
        <w:rPr>
          <w:rFonts w:hint="default" w:ascii="仿宋" w:hAnsi="仿宋" w:eastAsia="仿宋"/>
          <w:color w:val="000000" w:themeColor="text1"/>
          <w:kern w:val="0"/>
          <w:sz w:val="30"/>
          <w:szCs w:val="30"/>
          <w:lang w:val="en"/>
          <w14:textFill>
            <w14:solidFill>
              <w14:schemeClr w14:val="tx1"/>
            </w14:solidFill>
          </w14:textFill>
        </w:rPr>
        <w:t>9</w:t>
      </w:r>
      <w:r>
        <w:rPr>
          <w:rFonts w:hint="eastAsia" w:ascii="仿宋" w:hAnsi="仿宋" w:eastAsia="仿宋"/>
          <w:color w:val="000000" w:themeColor="text1"/>
          <w:kern w:val="0"/>
          <w:sz w:val="30"/>
          <w:szCs w:val="30"/>
          <w14:textFill>
            <w14:solidFill>
              <w14:schemeClr w14:val="tx1"/>
            </w14:solidFill>
          </w14:textFill>
        </w:rPr>
        <w:t>日24</w:t>
      </w:r>
      <w:r>
        <w:rPr>
          <w:rFonts w:hint="eastAsia" w:ascii="仿宋" w:hAnsi="仿宋" w:eastAsia="仿宋"/>
          <w:color w:val="000000" w:themeColor="text1"/>
          <w:kern w:val="0"/>
          <w:sz w:val="28"/>
          <w:szCs w:val="28"/>
          <w14:textFill>
            <w14:solidFill>
              <w14:schemeClr w14:val="tx1"/>
            </w14:solidFill>
          </w14:textFill>
        </w:rPr>
        <w:t>:00（节假日除外）。</w:t>
      </w:r>
    </w:p>
    <w:p>
      <w:pPr>
        <w:snapToGrid w:val="0"/>
        <w:spacing w:line="440" w:lineRule="exact"/>
        <w:ind w:firstLine="562" w:firstLineChars="200"/>
        <w:rPr>
          <w:rFonts w:ascii="仿宋" w:hAnsi="仿宋" w:eastAsia="仿宋"/>
          <w:b/>
          <w:bCs/>
          <w:color w:val="000000" w:themeColor="text1"/>
          <w:kern w:val="0"/>
          <w:sz w:val="28"/>
          <w:szCs w:val="28"/>
          <w:lang w:val="en"/>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2、登记方式：本项目需通过政采云平台网上登记。</w:t>
      </w:r>
    </w:p>
    <w:p>
      <w:pPr>
        <w:pStyle w:val="52"/>
        <w:numPr>
          <w:ilvl w:val="255"/>
          <w:numId w:val="0"/>
        </w:numPr>
        <w:snapToGrid w:val="0"/>
        <w:spacing w:line="440" w:lineRule="exact"/>
        <w:ind w:left="453" w:firstLine="562" w:firstLineChars="200"/>
        <w:jc w:val="left"/>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政采云平台</w:t>
      </w:r>
      <w:r>
        <w:rPr>
          <w:rFonts w:ascii="仿宋" w:hAnsi="仿宋" w:eastAsia="仿宋"/>
          <w:b/>
          <w:bCs/>
          <w:color w:val="000000" w:themeColor="text1"/>
          <w:kern w:val="0"/>
          <w:sz w:val="28"/>
          <w:szCs w:val="28"/>
          <w:lang w:val="en"/>
          <w14:textFill>
            <w14:solidFill>
              <w14:schemeClr w14:val="tx1"/>
            </w14:solidFill>
          </w14:textFill>
        </w:rPr>
        <w:t>投标人</w:t>
      </w:r>
      <w:r>
        <w:rPr>
          <w:rFonts w:hint="eastAsia" w:ascii="仿宋" w:hAnsi="仿宋" w:eastAsia="仿宋"/>
          <w:b/>
          <w:bCs/>
          <w:color w:val="000000" w:themeColor="text1"/>
          <w:kern w:val="0"/>
          <w:sz w:val="28"/>
          <w:szCs w:val="28"/>
          <w14:textFill>
            <w14:solidFill>
              <w14:schemeClr w14:val="tx1"/>
            </w14:solidFill>
          </w14:textFill>
        </w:rPr>
        <w:t>注册链接：</w:t>
      </w:r>
    </w:p>
    <w:p>
      <w:pPr>
        <w:snapToGrid w:val="0"/>
        <w:spacing w:line="440" w:lineRule="exact"/>
        <w:ind w:firstLine="420" w:firstLineChars="200"/>
        <w:rPr>
          <w:rFonts w:ascii="仿宋" w:hAnsi="仿宋" w:eastAsia="仿宋"/>
          <w:b/>
          <w:bCs/>
          <w:color w:val="000000" w:themeColor="text1"/>
          <w:kern w:val="0"/>
          <w:sz w:val="28"/>
          <w:szCs w:val="28"/>
          <w14:textFill>
            <w14:solidFill>
              <w14:schemeClr w14:val="tx1"/>
            </w14:solidFill>
          </w14:textFill>
        </w:rPr>
      </w:pPr>
      <w:r>
        <w:fldChar w:fldCharType="begin"/>
      </w:r>
      <w:r>
        <w:instrText xml:space="preserve"> HYPERLINK "https://middle.zcygov.cn/v-settle-front/enter/account?entranceType=1&amp;settleCategory=1&amp;isLoginAdd=true" </w:instrText>
      </w:r>
      <w:r>
        <w:fldChar w:fldCharType="separate"/>
      </w:r>
      <w:r>
        <w:rPr>
          <w:rStyle w:val="33"/>
          <w:rFonts w:ascii="仿宋" w:hAnsi="仿宋" w:eastAsia="仿宋"/>
          <w:b/>
          <w:bCs/>
          <w:kern w:val="0"/>
          <w:sz w:val="28"/>
          <w:szCs w:val="28"/>
        </w:rPr>
        <w:t>https://middle.zcygov.cn/v-settle-front/enter/account?entranceType=1&amp;settleCategory=1&amp;isLoginAdd=true</w:t>
      </w:r>
      <w:r>
        <w:rPr>
          <w:rStyle w:val="33"/>
          <w:rFonts w:ascii="仿宋" w:hAnsi="仿宋" w:eastAsia="仿宋"/>
          <w:b/>
          <w:bCs/>
          <w:kern w:val="0"/>
          <w:sz w:val="28"/>
          <w:szCs w:val="28"/>
        </w:rPr>
        <w:fldChar w:fldCharType="end"/>
      </w:r>
      <w:r>
        <w:rPr>
          <w:rFonts w:hint="eastAsia" w:ascii="仿宋" w:hAnsi="仿宋" w:eastAsia="仿宋"/>
          <w:b/>
          <w:bCs/>
          <w:color w:val="000000" w:themeColor="text1"/>
          <w:kern w:val="0"/>
          <w:sz w:val="28"/>
          <w:szCs w:val="28"/>
          <w14:textFill>
            <w14:solidFill>
              <w14:schemeClr w14:val="tx1"/>
            </w14:solidFill>
          </w14:textFill>
        </w:rPr>
        <w:t>注册成功后，用账号密码登录后台界面；</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ascii="仿宋" w:hAnsi="仿宋" w:eastAsia="仿宋"/>
          <w:b/>
          <w:bCs/>
          <w:color w:val="000000" w:themeColor="text1"/>
          <w:kern w:val="0"/>
          <w:sz w:val="28"/>
          <w:szCs w:val="28"/>
          <w:lang w:val="en"/>
          <w14:textFill>
            <w14:solidFill>
              <w14:schemeClr w14:val="tx1"/>
            </w14:solidFill>
          </w14:textFill>
        </w:rPr>
        <w:t>投标人</w:t>
      </w:r>
      <w:r>
        <w:rPr>
          <w:rFonts w:hint="eastAsia" w:ascii="仿宋" w:hAnsi="仿宋" w:eastAsia="仿宋"/>
          <w:b/>
          <w:bCs/>
          <w:color w:val="000000" w:themeColor="text1"/>
          <w:kern w:val="0"/>
          <w:sz w:val="28"/>
          <w:szCs w:val="28"/>
          <w14:textFill>
            <w14:solidFill>
              <w14:schemeClr w14:val="tx1"/>
            </w14:solidFill>
          </w14:textFill>
        </w:rPr>
        <w:t>登记路径：项目管理-项目采购-获取采购文件，找到本项目的项目名称申请获取采购文件，按照系统界面要求填写</w:t>
      </w:r>
      <w:r>
        <w:rPr>
          <w:rFonts w:ascii="仿宋" w:hAnsi="仿宋" w:eastAsia="仿宋"/>
          <w:b/>
          <w:bCs/>
          <w:color w:val="000000" w:themeColor="text1"/>
          <w:kern w:val="0"/>
          <w:sz w:val="28"/>
          <w:szCs w:val="28"/>
          <w:lang w:val="en"/>
          <w14:textFill>
            <w14:solidFill>
              <w14:schemeClr w14:val="tx1"/>
            </w14:solidFill>
          </w14:textFill>
        </w:rPr>
        <w:t>投标人</w:t>
      </w:r>
      <w:r>
        <w:rPr>
          <w:rFonts w:hint="eastAsia" w:ascii="仿宋" w:hAnsi="仿宋" w:eastAsia="仿宋"/>
          <w:b/>
          <w:bCs/>
          <w:color w:val="000000" w:themeColor="text1"/>
          <w:kern w:val="0"/>
          <w:sz w:val="28"/>
          <w:szCs w:val="28"/>
          <w14:textFill>
            <w14:solidFill>
              <w14:schemeClr w14:val="tx1"/>
            </w14:solidFill>
          </w14:textFill>
        </w:rPr>
        <w:t>相关信息，同时将以下文件扫描件作为附件上传。</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（1）法定代表人授权委托书扫描件（法定代表人手写签字或盖章，并加盖单位公章）；</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（2）授权代表身份证扫描件</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440" w:lineRule="exact"/>
              <w:ind w:firstLine="562" w:firstLineChars="200"/>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法定代表人的授权委托书</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国家体育总局体育器材装备中心：</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本授权委托书声明：注册于（公司住址）的（公司名称）法定代表人（法定代表人姓名、职务）代表本公司授权在下面签字的（法定代表人授权代表职务、姓名）为本公司的合法代理人，就贵方组织的（项目名称）项目，采购编号： ，以本公司名义办理登记。</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本授权书于 年 月 日 签字生效，特此声明。</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法定代表人印刷体姓名： 签字（或签名章）： 电话：</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授权代表印刷体姓名： 签字： 职务： 电话：</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授权代表身份证号：（身份证扫描件附后）</w:t>
            </w:r>
          </w:p>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公司全称（公章）：</w:t>
            </w:r>
          </w:p>
        </w:tc>
      </w:tr>
    </w:tbl>
    <w:p>
      <w:pPr>
        <w:snapToGrid w:val="0"/>
        <w:spacing w:line="440" w:lineRule="exact"/>
        <w:ind w:firstLine="562" w:firstLineChars="200"/>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未在规定时间内按要求提交以上文件进行登记，而直接编制投标文件参与投标的企业，其投标将被拒绝。</w:t>
      </w:r>
    </w:p>
    <w:p>
      <w:pPr>
        <w:snapToGrid w:val="0"/>
        <w:spacing w:line="440" w:lineRule="exact"/>
        <w:ind w:firstLine="560"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3、招标文件售价：0元，招标文件请至公告附件处下载。</w:t>
      </w:r>
    </w:p>
    <w:p>
      <w:pPr>
        <w:snapToGrid w:val="0"/>
        <w:spacing w:line="440" w:lineRule="exact"/>
        <w:rPr>
          <w:rFonts w:ascii="仿宋" w:hAnsi="仿宋" w:eastAsia="仿宋" w:cs="Arial"/>
          <w:b/>
          <w:bCs/>
          <w:color w:val="000000" w:themeColor="text1"/>
          <w:sz w:val="28"/>
          <w:szCs w:val="28"/>
          <w14:textFill>
            <w14:solidFill>
              <w14:schemeClr w14:val="tx1"/>
            </w14:solidFill>
          </w14:textFill>
        </w:rPr>
      </w:pPr>
      <w:r>
        <w:rPr>
          <w:rFonts w:hint="eastAsia" w:ascii="仿宋" w:hAnsi="仿宋" w:eastAsia="仿宋" w:cs="Arial"/>
          <w:b/>
          <w:bCs/>
          <w:color w:val="000000" w:themeColor="text1"/>
          <w:sz w:val="28"/>
          <w:szCs w:val="28"/>
          <w14:textFill>
            <w14:solidFill>
              <w14:schemeClr w14:val="tx1"/>
            </w14:solidFill>
          </w14:textFill>
        </w:rPr>
        <w:t>七、投标保证金：</w:t>
      </w:r>
    </w:p>
    <w:p>
      <w:pPr>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投标保证金（人民币）：</w:t>
      </w:r>
      <w:r>
        <w:rPr>
          <w:rFonts w:hint="eastAsia" w:ascii="仿宋" w:hAnsi="仿宋" w:eastAsia="仿宋"/>
          <w:b/>
          <w:bCs/>
          <w:color w:val="000000" w:themeColor="text1"/>
          <w:sz w:val="28"/>
          <w:szCs w:val="28"/>
          <w:u w:val="single"/>
          <w14:textFill>
            <w14:solidFill>
              <w14:schemeClr w14:val="tx1"/>
            </w14:solidFill>
          </w14:textFill>
        </w:rPr>
        <w:t>2万元</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投标人应于2025年</w:t>
      </w:r>
      <w:r>
        <w:rPr>
          <w:rFonts w:hint="default" w:ascii="仿宋" w:hAnsi="仿宋" w:eastAsia="仿宋"/>
          <w:color w:val="000000" w:themeColor="text1"/>
          <w:sz w:val="28"/>
          <w:szCs w:val="28"/>
          <w:lang w:val="e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月</w:t>
      </w:r>
      <w:r>
        <w:rPr>
          <w:rFonts w:hint="default" w:ascii="仿宋" w:hAnsi="仿宋" w:eastAsia="仿宋"/>
          <w:color w:val="000000" w:themeColor="text1"/>
          <w:sz w:val="28"/>
          <w:szCs w:val="28"/>
          <w:lang w:val="en"/>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日上午9:30前将</w:t>
      </w:r>
      <w:r>
        <w:rPr>
          <w:rFonts w:hint="eastAsia" w:ascii="仿宋" w:hAnsi="仿宋" w:eastAsia="仿宋" w:cs="Arial"/>
          <w:color w:val="000000" w:themeColor="text1"/>
          <w:sz w:val="28"/>
          <w:szCs w:val="28"/>
          <w14:textFill>
            <w14:solidFill>
              <w14:schemeClr w14:val="tx1"/>
            </w14:solidFill>
          </w14:textFill>
        </w:rPr>
        <w:t>投标保证金以网银、汇票、电汇、转帐支票、银行保函方式（</w:t>
      </w:r>
      <w:r>
        <w:rPr>
          <w:rFonts w:hint="eastAsia" w:ascii="仿宋" w:hAnsi="仿宋" w:eastAsia="仿宋"/>
          <w:color w:val="000000" w:themeColor="text1"/>
          <w:sz w:val="28"/>
          <w:szCs w:val="28"/>
          <w14:textFill>
            <w14:solidFill>
              <w14:schemeClr w14:val="tx1"/>
            </w14:solidFill>
          </w14:textFill>
        </w:rPr>
        <w:t>招标方不接受以现金支票、现金、支付宝、微信及个人转账方式交纳的保证金</w:t>
      </w:r>
      <w:r>
        <w:rPr>
          <w:rFonts w:hint="eastAsia" w:ascii="仿宋" w:hAnsi="仿宋" w:eastAsia="仿宋" w:cs="Arial"/>
          <w:color w:val="000000" w:themeColor="text1"/>
          <w:sz w:val="28"/>
          <w:szCs w:val="28"/>
          <w14:textFill>
            <w14:solidFill>
              <w14:schemeClr w14:val="tx1"/>
            </w14:solidFill>
          </w14:textFill>
        </w:rPr>
        <w:t>）交至国家体育总局体育器材装备中心。投标保证金为银行保函形式的，银行保函有效期需比投标有效期长28天。</w:t>
      </w:r>
    </w:p>
    <w:p>
      <w:pPr>
        <w:snapToGrid w:val="0"/>
        <w:spacing w:line="440" w:lineRule="exact"/>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开户名：  国家体育总局体育器材装备中心</w:t>
      </w:r>
    </w:p>
    <w:p>
      <w:pPr>
        <w:snapToGrid w:val="0"/>
        <w:spacing w:line="440" w:lineRule="exact"/>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开户银行：工行北京体育馆路支行</w:t>
      </w:r>
    </w:p>
    <w:p>
      <w:pPr>
        <w:snapToGrid w:val="0"/>
        <w:spacing w:line="440" w:lineRule="exact"/>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银行账号：0200008109089053553</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未按前述各款要求提交投标保证金的投标将视为无效投标。</w:t>
      </w:r>
    </w:p>
    <w:p>
      <w:pPr>
        <w:snapToGrid w:val="0"/>
        <w:spacing w:line="440" w:lineRule="exact"/>
        <w:ind w:firstLine="560" w:firstLineChars="200"/>
        <w:rPr>
          <w:rFonts w:ascii="仿宋" w:hAnsi="仿宋" w:eastAsia="仿宋" w:cs="Arial"/>
          <w:b/>
          <w:bCs/>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投标人递交投标文件时需提供投标人全称、开户行、银行帐号等银行信息</w:t>
      </w:r>
      <w:r>
        <w:rPr>
          <w:rFonts w:hint="eastAsia" w:ascii="仿宋" w:hAnsi="仿宋" w:eastAsia="仿宋" w:cs="Arial"/>
          <w:color w:val="000000" w:themeColor="text1"/>
          <w:sz w:val="28"/>
          <w:szCs w:val="28"/>
          <w:lang w:eastAsia="zh-CN"/>
          <w14:textFill>
            <w14:solidFill>
              <w14:schemeClr w14:val="tx1"/>
            </w14:solidFill>
          </w14:textFill>
        </w:rPr>
        <w:t>，</w:t>
      </w:r>
      <w:r>
        <w:rPr>
          <w:rFonts w:hint="eastAsia" w:ascii="仿宋" w:hAnsi="仿宋" w:eastAsia="仿宋" w:cs="Arial"/>
          <w:color w:val="000000" w:themeColor="text1"/>
          <w:sz w:val="28"/>
          <w:szCs w:val="28"/>
          <w14:textFill>
            <w14:solidFill>
              <w14:schemeClr w14:val="tx1"/>
            </w14:solidFill>
          </w14:textFill>
        </w:rPr>
        <w:t>并加盖投标人公章，以便招标方退还投标保证金。</w:t>
      </w:r>
    </w:p>
    <w:p>
      <w:pPr>
        <w:snapToGrid w:val="0"/>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投标保证金的退还：未中标的投标人在中标公告发布2个工作日内应立即将招标方开出的投标保证金收据退回，招标方将在中标通知书发出之日起5个工作日内按投标人递交投标保证金时提供的银行信息用网上汇款等方式退还投标保证金。</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中标人签订</w:t>
      </w:r>
      <w:r>
        <w:rPr>
          <w:rFonts w:hint="eastAsia" w:ascii="仿宋" w:hAnsi="仿宋" w:eastAsia="仿宋" w:cs="Arial"/>
          <w:sz w:val="28"/>
          <w:szCs w:val="28"/>
        </w:rPr>
        <w:t>采购协议</w:t>
      </w:r>
      <w:r>
        <w:rPr>
          <w:rFonts w:hint="eastAsia" w:ascii="仿宋" w:hAnsi="仿宋" w:eastAsia="仿宋" w:cs="Arial"/>
          <w:color w:val="000000" w:themeColor="text1"/>
          <w:sz w:val="28"/>
          <w:szCs w:val="28"/>
          <w14:textFill>
            <w14:solidFill>
              <w14:schemeClr w14:val="tx1"/>
            </w14:solidFill>
          </w14:textFill>
        </w:rPr>
        <w:t>后应立即将招标方开出的投标保证金收据退回，招标方将在采购合同签订之日起5个工作日内按投标人递交投标保证金时提供的银行信息用网上汇款等方式退还投标保证金或者转为中标人的履约保证金</w:t>
      </w:r>
      <w:r>
        <w:rPr>
          <w:rFonts w:ascii="仿宋" w:hAnsi="仿宋" w:eastAsia="仿宋" w:cs="Arial"/>
          <w:color w:val="000000" w:themeColor="text1"/>
          <w:sz w:val="28"/>
          <w:szCs w:val="28"/>
          <w14:textFill>
            <w14:solidFill>
              <w14:schemeClr w14:val="tx1"/>
            </w14:solidFill>
          </w14:textFill>
        </w:rPr>
        <w:t>。</w:t>
      </w:r>
    </w:p>
    <w:p>
      <w:pPr>
        <w:snapToGrid w:val="0"/>
        <w:spacing w:line="44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投标人有如下情况之一，将被没收其投标保证金，投标人不得要求全部或部分返还</w:t>
      </w:r>
      <w:r>
        <w:rPr>
          <w:rFonts w:hint="eastAsia" w:ascii="仿宋" w:hAnsi="仿宋" w:eastAsia="仿宋" w:cs="Arial"/>
          <w:bCs/>
          <w:color w:val="000000" w:themeColor="text1"/>
          <w:sz w:val="28"/>
          <w:szCs w:val="28"/>
          <w:lang w:eastAsia="zh-CN"/>
          <w14:textFill>
            <w14:solidFill>
              <w14:schemeClr w14:val="tx1"/>
            </w14:solidFill>
          </w14:textFill>
        </w:rPr>
        <w:t>：</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1、在投标文件有效期内撤回投标文件的；</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投标人在投标过程中弄虚作假，提供虚假材料的；</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3、中标人无正当理由未能按本文件规定签订采购协议；</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4、</w:t>
      </w:r>
      <w:r>
        <w:rPr>
          <w:rFonts w:ascii="仿宋" w:hAnsi="仿宋" w:eastAsia="仿宋" w:cs="Arial"/>
          <w:color w:val="000000" w:themeColor="text1"/>
          <w:sz w:val="28"/>
          <w:szCs w:val="28"/>
          <w14:textFill>
            <w14:solidFill>
              <w14:schemeClr w14:val="tx1"/>
            </w14:solidFill>
          </w14:textFill>
        </w:rPr>
        <w:t>投标人拒绝在开标记录上签字确认，经</w:t>
      </w:r>
      <w:r>
        <w:rPr>
          <w:rFonts w:hint="eastAsia" w:ascii="仿宋" w:hAnsi="仿宋" w:eastAsia="仿宋" w:cs="Arial"/>
          <w:color w:val="000000" w:themeColor="text1"/>
          <w:sz w:val="28"/>
          <w:szCs w:val="28"/>
          <w14:textFill>
            <w14:solidFill>
              <w14:schemeClr w14:val="tx1"/>
            </w14:solidFill>
          </w14:textFill>
        </w:rPr>
        <w:t>相关</w:t>
      </w:r>
      <w:r>
        <w:rPr>
          <w:rFonts w:ascii="仿宋" w:hAnsi="仿宋" w:eastAsia="仿宋" w:cs="Arial"/>
          <w:color w:val="000000" w:themeColor="text1"/>
          <w:sz w:val="28"/>
          <w:szCs w:val="28"/>
          <w14:textFill>
            <w14:solidFill>
              <w14:schemeClr w14:val="tx1"/>
            </w14:solidFill>
          </w14:textFill>
        </w:rPr>
        <w:t>招标投标监督管理机构核实开标记录无误后，投标人仍拒绝签字确认；</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将中标项目转让给他人的；</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w:t>
      </w:r>
      <w:r>
        <w:rPr>
          <w:rFonts w:ascii="仿宋" w:hAnsi="仿宋" w:eastAsia="仿宋" w:cs="Arial"/>
          <w:color w:val="000000" w:themeColor="text1"/>
          <w:sz w:val="28"/>
          <w:szCs w:val="28"/>
          <w14:textFill>
            <w14:solidFill>
              <w14:schemeClr w14:val="tx1"/>
            </w14:solidFill>
          </w14:textFill>
        </w:rPr>
        <w:t>由于投标人未能遵守招标文件的其它规定而致使招标方的招标工作失败或对招标工作产生极其不利的影响，包括但不限于投标人的恶意串谋、欺诈、威胁、贿赂等。</w:t>
      </w:r>
    </w:p>
    <w:p>
      <w:pPr>
        <w:snapToGrid w:val="0"/>
        <w:spacing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7、其他严重扰乱招投标程序的；</w:t>
      </w:r>
    </w:p>
    <w:p>
      <w:pPr>
        <w:snapToGrid w:val="0"/>
        <w:spacing w:line="440" w:lineRule="exact"/>
        <w:ind w:firstLine="560"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投标人在投标截止时间前撤回已提交的投标文件的，采购人或者招标方应当自收到投标人书面撤回通知之日起５个工作日内，退还已收取的投标保证金，但因投标人自身原因导致无法及时退还的除外。</w:t>
      </w:r>
    </w:p>
    <w:p>
      <w:pPr>
        <w:snapToGrid w:val="0"/>
        <w:spacing w:line="440" w:lineRule="exact"/>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八、投标文件的递交：</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本项目为全流程电子化项目，通过“政采云”平台（http：//www.zcygov.cn）实行在线电子投标，</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应先安装“政采云电子投标客户端”（请自行前往“政采云”平台进行下载），并按照本项目采购文件和“政采云”平台的要求编制、加密后在投标截止时间前通过网络上传至“政采云”平台，</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在“政采云”平台提交电子版投标文件时，请填写参加远程采购活动经办人联系方式，电子投标文件具体操作流程请查看“政采云网站”。</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未进行网上注册并办理数字证书（CA认证）的</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将无法参与本项目政府采购活动，潜在</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应当在投标截止时间前，完成电子交易平台上的CA数字证书办理及投标文件的提交。完成CA数字证书办理预计7日左右，</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只需办理其中一家CA数字证书及签章，例如具有北京CA的</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，可直接参与政采云电子招投标项目。</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未进行网上注册并办理数字证书（CA认证）的</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还可登录政采云平台，通过CA管理，申领CA，包括Ukey介质与云CA证书（二选一）。</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为确保网上操作合法、有效和安全，请</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 xml:space="preserve">确保在电子响应过程中能够对相关数据电文进行加密和使用电子签章，妥善保管CA数字证书并使用有效的CA数字证书参与整个采购活动。 </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注：</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应当在首次投标文件提交截止时间前完成电子响应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政采云”平台将予以拒收。</w:t>
      </w:r>
    </w:p>
    <w:p>
      <w:pPr>
        <w:snapToGrid w:val="0"/>
        <w:spacing w:line="440" w:lineRule="exact"/>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有关政采云平台使用、CA认证的有关问题，请咨询政采云客服电话：</w:t>
      </w:r>
      <w:r>
        <w:rPr>
          <w:rFonts w:ascii="仿宋" w:hAnsi="仿宋" w:eastAsia="仿宋" w:cs="Arial"/>
          <w:b/>
          <w:color w:val="000000" w:themeColor="text1"/>
          <w:sz w:val="28"/>
          <w:szCs w:val="28"/>
          <w14:textFill>
            <w14:solidFill>
              <w14:schemeClr w14:val="tx1"/>
            </w14:solidFill>
          </w14:textFill>
        </w:rPr>
        <w:t>95763</w:t>
      </w:r>
      <w:r>
        <w:rPr>
          <w:rFonts w:hint="eastAsia" w:ascii="仿宋" w:hAnsi="仿宋" w:eastAsia="仿宋" w:cs="Arial"/>
          <w:b/>
          <w:color w:val="000000" w:themeColor="text1"/>
          <w:sz w:val="28"/>
          <w:szCs w:val="28"/>
          <w14:textFill>
            <w14:solidFill>
              <w14:schemeClr w14:val="tx1"/>
            </w14:solidFill>
          </w14:textFill>
        </w:rPr>
        <w:t>。</w:t>
      </w:r>
    </w:p>
    <w:p>
      <w:pPr>
        <w:snapToGrid w:val="0"/>
        <w:spacing w:line="440" w:lineRule="exact"/>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九、开标时间及地点：</w:t>
      </w:r>
      <w:r>
        <w:rPr>
          <w:rFonts w:hint="eastAsia" w:ascii="仿宋" w:hAnsi="仿宋" w:eastAsia="仿宋" w:cs="Arial"/>
          <w:b/>
          <w:bCs/>
          <w:color w:val="000000" w:themeColor="text1"/>
          <w:sz w:val="30"/>
          <w:szCs w:val="30"/>
          <w14:textFill>
            <w14:solidFill>
              <w14:schemeClr w14:val="tx1"/>
            </w14:solidFill>
          </w14:textFill>
        </w:rPr>
        <w:tab/>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2025年</w:t>
      </w:r>
      <w:r>
        <w:rPr>
          <w:rFonts w:hint="default" w:ascii="仿宋" w:hAnsi="仿宋" w:eastAsia="仿宋" w:cs="Arial"/>
          <w:color w:val="000000" w:themeColor="text1"/>
          <w:sz w:val="28"/>
          <w:szCs w:val="28"/>
          <w:lang w:val="en"/>
          <w14:textFill>
            <w14:solidFill>
              <w14:schemeClr w14:val="tx1"/>
            </w14:solidFill>
          </w14:textFill>
        </w:rPr>
        <w:t>5</w:t>
      </w:r>
      <w:r>
        <w:rPr>
          <w:rFonts w:hint="eastAsia" w:ascii="仿宋" w:hAnsi="仿宋" w:eastAsia="仿宋" w:cs="Arial"/>
          <w:color w:val="000000" w:themeColor="text1"/>
          <w:sz w:val="28"/>
          <w:szCs w:val="28"/>
          <w14:textFill>
            <w14:solidFill>
              <w14:schemeClr w14:val="tx1"/>
            </w14:solidFill>
          </w14:textFill>
        </w:rPr>
        <w:t>月</w:t>
      </w:r>
      <w:r>
        <w:rPr>
          <w:rFonts w:hint="default" w:ascii="仿宋" w:hAnsi="仿宋" w:eastAsia="仿宋" w:cs="Arial"/>
          <w:color w:val="000000" w:themeColor="text1"/>
          <w:sz w:val="28"/>
          <w:szCs w:val="28"/>
          <w:lang w:val="en"/>
          <w14:textFill>
            <w14:solidFill>
              <w14:schemeClr w14:val="tx1"/>
            </w14:solidFill>
          </w14:textFill>
        </w:rPr>
        <w:t>20</w:t>
      </w:r>
      <w:r>
        <w:rPr>
          <w:rFonts w:hint="eastAsia" w:ascii="仿宋" w:hAnsi="仿宋" w:eastAsia="仿宋" w:cs="Arial"/>
          <w:color w:val="000000" w:themeColor="text1"/>
          <w:sz w:val="28"/>
          <w:szCs w:val="28"/>
          <w14:textFill>
            <w14:solidFill>
              <w14:schemeClr w14:val="tx1"/>
            </w14:solidFill>
          </w14:textFill>
        </w:rPr>
        <w:t>日上午9：30在“政采云”平台进行线上开标。</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应登录政府采购云平台（http：//www.zcygov.cn）开标大厅。开标大厅菜单路径：应用中心—项目采购—开标评标</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需要在互联网网络状况良好的电脑登录“政采云”平台远程开标大厅参与本次开标，否则后果自负。</w:t>
      </w:r>
    </w:p>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首次投标文件开启时，须要</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携带制作投标文件时用来加密的有效数字证书（CA认证）登录“政采云”平台电子开标大厅现场按规定时间对加密的响应文件进行解密，否则后果自负。</w:t>
      </w:r>
    </w:p>
    <w:p>
      <w:pPr>
        <w:snapToGrid w:val="0"/>
        <w:spacing w:line="44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28"/>
        <w:tblpPr w:leftFromText="180" w:rightFromText="180" w:vertAnchor="text" w:horzAnchor="page" w:tblpX="1337" w:tblpY="223"/>
        <w:tblOverlap w:val="never"/>
        <w:tblW w:w="10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5"/>
        <w:gridCol w:w="2090"/>
        <w:gridCol w:w="2067"/>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8" w:type="dxa"/>
            <w:gridSpan w:val="4"/>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国家体育总局体育器材装备中心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北京市东城区体育馆路3号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俞老师</w:t>
            </w:r>
          </w:p>
        </w:tc>
        <w:tc>
          <w:tcPr>
            <w:tcW w:w="209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010-87182666</w:t>
            </w:r>
          </w:p>
        </w:tc>
        <w:tc>
          <w:tcPr>
            <w:tcW w:w="20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6"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六楼</w:t>
            </w:r>
            <w:bookmarkStart w:id="10" w:name="PO_409_PM001385"/>
            <w:r>
              <w:rPr>
                <w:rFonts w:hint="eastAsia" w:ascii="仿宋" w:hAnsi="仿宋" w:eastAsia="仿宋" w:cs="仿宋"/>
                <w:color w:val="000000" w:themeColor="text1"/>
                <w:sz w:val="28"/>
                <w:szCs w:val="28"/>
                <w14:textFill>
                  <w14:solidFill>
                    <w14:schemeClr w14:val="tx1"/>
                  </w14:solidFill>
                </w14:textFill>
              </w:rPr>
              <w:t>集中采购处</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项目保证金</w:t>
            </w:r>
          </w:p>
        </w:tc>
        <w:tc>
          <w:tcPr>
            <w:tcW w:w="13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师老师</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010-87182648</w:t>
            </w:r>
          </w:p>
        </w:tc>
        <w:tc>
          <w:tcPr>
            <w:tcW w:w="20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袁老师</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010-87183071</w:t>
            </w:r>
          </w:p>
        </w:tc>
        <w:tc>
          <w:tcPr>
            <w:tcW w:w="20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六楼集中采购处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政采云系统</w:t>
            </w:r>
          </w:p>
        </w:tc>
        <w:tc>
          <w:tcPr>
            <w:tcW w:w="13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95763</w:t>
            </w:r>
          </w:p>
        </w:tc>
        <w:tc>
          <w:tcPr>
            <w:tcW w:w="20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注册、账号等</w:t>
            </w:r>
          </w:p>
        </w:tc>
      </w:tr>
    </w:tbl>
    <w:p>
      <w:pPr>
        <w:snapToGrid w:val="0"/>
        <w:spacing w:line="440" w:lineRule="exact"/>
        <w:rPr>
          <w:rFonts w:ascii="仿宋" w:hAnsi="仿宋" w:eastAsia="仿宋" w:cs="Arial"/>
          <w:b/>
          <w:bCs/>
          <w:color w:val="000000" w:themeColor="text1"/>
          <w:sz w:val="30"/>
          <w:szCs w:val="30"/>
          <w14:textFill>
            <w14:solidFill>
              <w14:schemeClr w14:val="tx1"/>
            </w14:solidFill>
          </w14:textFill>
        </w:rPr>
      </w:pPr>
    </w:p>
    <w:p>
      <w:pPr>
        <w:snapToGrid w:val="0"/>
        <w:spacing w:line="440" w:lineRule="exact"/>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bookmarkStart w:id="11" w:name="PO_TDCUS_ITEM_PRC_TABLE_1_1"/>
    </w:p>
    <w:tbl>
      <w:tblPr>
        <w:tblStyle w:val="28"/>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5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096"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采购单位</w:t>
            </w:r>
          </w:p>
        </w:tc>
        <w:tc>
          <w:tcPr>
            <w:tcW w:w="5993"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国家体育总局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3096"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tc>
        <w:tc>
          <w:tcPr>
            <w:tcW w:w="5993"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北京市东城区体育馆路2号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096"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咨询事项</w:t>
            </w:r>
          </w:p>
        </w:tc>
        <w:tc>
          <w:tcPr>
            <w:tcW w:w="5993"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3096"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联系人及联系方式</w:t>
            </w:r>
          </w:p>
        </w:tc>
        <w:tc>
          <w:tcPr>
            <w:tcW w:w="5993"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郑老师  010-87182075</w:t>
            </w:r>
          </w:p>
        </w:tc>
      </w:tr>
      <w:bookmarkEnd w:id="11"/>
    </w:tbl>
    <w:p>
      <w:pPr>
        <w:snapToGrid w:val="0"/>
        <w:spacing w:line="440" w:lineRule="exact"/>
        <w:ind w:firstLine="560" w:firstLineChars="200"/>
        <w:rPr>
          <w:rFonts w:ascii="仿宋" w:hAnsi="仿宋" w:eastAsia="仿宋" w:cs="Arial"/>
          <w:color w:val="000000" w:themeColor="text1"/>
          <w:sz w:val="28"/>
          <w:szCs w:val="28"/>
          <w14:textFill>
            <w14:solidFill>
              <w14:schemeClr w14:val="tx1"/>
            </w14:solidFill>
          </w14:textFill>
        </w:rPr>
      </w:pPr>
    </w:p>
    <w:p>
      <w:pPr>
        <w:widowControl/>
        <w:jc w:val="left"/>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br w:type="page"/>
      </w:r>
    </w:p>
    <w:p>
      <w:pPr>
        <w:pStyle w:val="16"/>
        <w:spacing w:before="156" w:after="156" w:line="360" w:lineRule="auto"/>
        <w:ind w:firstLine="640"/>
        <w:jc w:val="center"/>
        <w:outlineLvl w:val="0"/>
        <w:rPr>
          <w:rFonts w:hAnsi="宋体"/>
          <w:b/>
          <w:color w:val="000000" w:themeColor="text1"/>
          <w:sz w:val="36"/>
          <w:szCs w:val="36"/>
          <w14:textFill>
            <w14:solidFill>
              <w14:schemeClr w14:val="tx1"/>
            </w14:solidFill>
          </w14:textFill>
        </w:rPr>
      </w:pPr>
      <w:bookmarkStart w:id="12" w:name="_Toc466137134"/>
      <w:bookmarkStart w:id="13" w:name="_Toc121226004"/>
      <w:bookmarkStart w:id="14" w:name="_Toc12866"/>
      <w:r>
        <w:rPr>
          <w:rFonts w:hint="eastAsia" w:hAnsi="宋体"/>
          <w:b/>
          <w:color w:val="000000" w:themeColor="text1"/>
          <w:sz w:val="36"/>
          <w:szCs w:val="36"/>
          <w14:textFill>
            <w14:solidFill>
              <w14:schemeClr w14:val="tx1"/>
            </w14:solidFill>
          </w14:textFill>
        </w:rPr>
        <w:t>第二章  投标人须知</w:t>
      </w:r>
      <w:bookmarkEnd w:id="12"/>
      <w:bookmarkEnd w:id="13"/>
      <w:bookmarkEnd w:id="14"/>
    </w:p>
    <w:p>
      <w:pPr>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前附表</w:t>
      </w:r>
    </w:p>
    <w:tbl>
      <w:tblPr>
        <w:tblStyle w:val="28"/>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7"/>
        <w:gridCol w:w="1802"/>
        <w:gridCol w:w="6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内 容</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ind w:firstLine="1960" w:firstLineChars="7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项目名称及数量</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详见《公开招标采购公告》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根据财库[2016]125号文件，通过“信用中国”网站、中国政府采购网，以开标当日网页查询记录为准。对列入失信被执行人、重大税收违法案件当事人名单、政府采购严重违法失信行为记录名单的</w:t>
            </w:r>
            <w:r>
              <w:rPr>
                <w:rFonts w:ascii="仿宋" w:hAnsi="仿宋" w:eastAsia="仿宋"/>
                <w:color w:val="000000" w:themeColor="text1"/>
                <w:sz w:val="24"/>
                <w:szCs w:val="24"/>
                <w:lang w:val="en"/>
                <w14:textFill>
                  <w14:solidFill>
                    <w14:schemeClr w14:val="tx1"/>
                  </w14:solidFill>
                </w14:textFill>
              </w:rPr>
              <w:t>投标人</w:t>
            </w:r>
            <w:r>
              <w:rPr>
                <w:rFonts w:hint="eastAsia" w:ascii="仿宋" w:hAnsi="仿宋" w:eastAsia="仿宋"/>
                <w:color w:val="000000" w:themeColor="text1"/>
                <w:sz w:val="24"/>
                <w:szCs w:val="24"/>
                <w14:textFill>
                  <w14:solidFill>
                    <w14:schemeClr w14:val="tx1"/>
                  </w14:solidFill>
                </w14:textFill>
              </w:rPr>
              <w:t>，其投标将作无效标处理。联合体形式投标的,联合体成员存在不良信用记录,视同联合体存在不良信用记录。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政府采购节能环保产品</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投标产品若属于节能环保产品的，请提供财政部、环境保护部发布有效期内环境标志产品政府采购清单以及财政部、发改委联合发布有效期内节能产品政府采购清单。</w:t>
            </w:r>
          </w:p>
          <w:p>
            <w:pPr>
              <w:snapToGrid w:val="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招标需求中要求提供的产品属于节能清单中政府强制采购节能产品品目的，投标人须提供该清单内产品，</w:t>
            </w:r>
            <w:r>
              <w:rPr>
                <w:rFonts w:hint="eastAsia" w:ascii="仿宋" w:hAnsi="仿宋" w:eastAsia="仿宋"/>
                <w:b/>
                <w:color w:val="000000" w:themeColor="text1"/>
                <w:sz w:val="24"/>
                <w:szCs w:val="24"/>
                <w14:textFill>
                  <w14:solidFill>
                    <w14:schemeClr w14:val="tx1"/>
                  </w14:solidFill>
                </w14:textFill>
              </w:rPr>
              <w:t>否则其投标将作为无效标处理。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小微企业有关政策</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1、根据财政部发布的《关于进一步加大政府采购支持中小企业力度的通知》（财库〔2022〕19号）规定，对于非专门面向此类企业的项目，对小型和微型企业的价格给予20%的扣除，用扣除后的价格参与评审。</w:t>
            </w:r>
          </w:p>
          <w:p>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中小企业参加政府采购活动，应当出具本办法规定的《中小企业声明函》（见附件），否则不得享受相关中小企业扶持政策。</w:t>
            </w:r>
          </w:p>
          <w:p>
            <w:pPr>
              <w:snapToGrid w:val="0"/>
            </w:pPr>
            <w:r>
              <w:rPr>
                <w:rFonts w:hint="eastAsia" w:ascii="仿宋" w:hAnsi="仿宋" w:eastAsia="仿宋"/>
                <w:b/>
                <w:color w:val="000000" w:themeColor="text1"/>
                <w:sz w:val="24"/>
                <w:szCs w:val="24"/>
                <w14:textFill>
                  <w14:solidFill>
                    <w14:schemeClr w14:val="tx1"/>
                  </w14:solidFill>
                </w14:textFill>
              </w:rPr>
              <w:t>注：（1）本项目非专门面向中小企业采购的采购项目。（2）本项目为</w:t>
            </w:r>
            <w:r>
              <w:rPr>
                <w:rFonts w:hint="eastAsia" w:ascii="仿宋" w:hAnsi="仿宋" w:eastAsia="仿宋"/>
                <w:b/>
                <w:color w:val="000000" w:themeColor="text1"/>
                <w:sz w:val="24"/>
                <w:szCs w:val="24"/>
                <w:u w:val="single"/>
                <w14:textFill>
                  <w14:solidFill>
                    <w14:schemeClr w14:val="tx1"/>
                  </w14:solidFill>
                </w14:textFill>
              </w:rPr>
              <w:t>服务类</w:t>
            </w:r>
            <w:r>
              <w:rPr>
                <w:rFonts w:hint="eastAsia" w:ascii="仿宋" w:hAnsi="仿宋" w:eastAsia="仿宋"/>
                <w:b/>
                <w:color w:val="000000" w:themeColor="text1"/>
                <w:sz w:val="24"/>
                <w:szCs w:val="24"/>
                <w14:textFill>
                  <w14:solidFill>
                    <w14:schemeClr w14:val="tx1"/>
                  </w14:solidFill>
                </w14:textFill>
              </w:rPr>
              <w:t>采购项目，采购标的所属行业为</w:t>
            </w:r>
            <w:r>
              <w:rPr>
                <w:rFonts w:hint="eastAsia" w:ascii="仿宋" w:hAnsi="仿宋" w:eastAsia="仿宋"/>
                <w:b/>
                <w:color w:val="000000" w:themeColor="text1"/>
                <w:sz w:val="24"/>
                <w:szCs w:val="24"/>
                <w:u w:val="single"/>
                <w14:textFill>
                  <w14:solidFill>
                    <w14:schemeClr w14:val="tx1"/>
                  </w14:solidFill>
                </w14:textFill>
              </w:rPr>
              <w:t>软件和信息技术服务行业</w:t>
            </w:r>
            <w:r>
              <w:rPr>
                <w:rFonts w:hint="eastAsia" w:ascii="仿宋" w:hAnsi="仿宋" w:eastAsia="仿宋"/>
                <w:b/>
                <w:color w:val="000000" w:themeColor="text1"/>
                <w:sz w:val="24"/>
                <w:szCs w:val="24"/>
                <w14:textFill>
                  <w14:solidFill>
                    <w14:schemeClr w14:val="tx1"/>
                  </w14:solidFill>
                </w14:textFill>
              </w:rPr>
              <w:t>，对小微企业报价给予20%的扣除，用扣除后的价格参加评审。</w:t>
            </w:r>
          </w:p>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widowControl/>
              <w:shd w:val="clear" w:color="auto" w:fill="EEEEEE"/>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p>
            <w:pPr>
              <w:numPr>
                <w:ilvl w:val="0"/>
                <w:numId w:val="4"/>
              </w:numPr>
              <w:snapToGrid w:val="0"/>
              <w:rPr>
                <w:rFonts w:ascii="仿宋" w:hAnsi="仿宋" w:eastAsia="仿宋"/>
                <w:color w:val="000000"/>
                <w:sz w:val="24"/>
                <w:szCs w:val="24"/>
              </w:rPr>
            </w:pPr>
            <w:r>
              <w:rPr>
                <w:rFonts w:hint="eastAsia" w:ascii="仿宋" w:hAnsi="仿宋" w:eastAsia="仿宋"/>
                <w:color w:val="000000"/>
                <w:sz w:val="24"/>
                <w:szCs w:val="24"/>
              </w:rPr>
              <w:t>以联合体形式参加政府采购活动,联合体各方均为小微企业的,联合体视同小微企业。</w:t>
            </w:r>
          </w:p>
          <w:p>
            <w:pPr>
              <w:numPr>
                <w:ilvl w:val="0"/>
                <w:numId w:val="4"/>
              </w:numPr>
              <w:snapToGrid w:val="0"/>
              <w:rPr>
                <w:rFonts w:ascii="仿宋" w:hAnsi="仿宋" w:eastAsia="仿宋"/>
                <w:color w:val="000000"/>
                <w:sz w:val="24"/>
                <w:szCs w:val="24"/>
              </w:rPr>
            </w:pPr>
            <w:r>
              <w:rPr>
                <w:rFonts w:hint="eastAsia" w:ascii="仿宋" w:hAnsi="仿宋" w:eastAsia="仿宋"/>
                <w:color w:val="000000"/>
                <w:sz w:val="24"/>
                <w:szCs w:val="24"/>
              </w:rPr>
              <w:t>对于未预留份额专门面向中小企业采购的采购项目,以及预留份额项目中的非预留部分采购包且接受大中型企业与小微企业组成联合体的采购项目,对于联合协议中约定小微企业的合同份额占到合同总金额30%以上的联合体的报价给予6%的扣除，用扣除后的价格参加评审。组成联合体或者接受分包的小微企业与联合体内其他企业、分包企业之间存在直接控股、管理关系的，不享受价格扣除优惠政策。</w:t>
            </w:r>
          </w:p>
          <w:p>
            <w:pPr>
              <w:snapToGrid w:val="0"/>
              <w:jc w:val="left"/>
              <w:rPr>
                <w:rFonts w:ascii="仿宋" w:hAnsi="仿宋" w:eastAsia="仿宋"/>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答疑与澄清</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投标人如对招标文件有异议，应当于公告发布之日起至</w:t>
            </w:r>
            <w:r>
              <w:rPr>
                <w:rFonts w:hint="eastAsia" w:ascii="仿宋" w:hAnsi="仿宋" w:eastAsia="仿宋"/>
                <w:bCs/>
                <w:color w:val="000000" w:themeColor="text1"/>
                <w:sz w:val="24"/>
                <w:szCs w:val="24"/>
                <w14:textFill>
                  <w14:solidFill>
                    <w14:schemeClr w14:val="tx1"/>
                  </w14:solidFill>
                </w14:textFill>
              </w:rPr>
              <w:t>公告期限满第7个工作日内</w:t>
            </w:r>
            <w:r>
              <w:rPr>
                <w:rFonts w:hint="eastAsia" w:ascii="仿宋" w:hAnsi="仿宋" w:eastAsia="仿宋"/>
                <w:color w:val="000000" w:themeColor="text1"/>
                <w:sz w:val="24"/>
                <w:szCs w:val="24"/>
                <w14:textFill>
                  <w14:solidFill>
                    <w14:schemeClr w14:val="tx1"/>
                  </w14:solidFill>
                </w14:textFill>
              </w:rPr>
              <w:t>，以书面形式向招标采购单位提出，逾期不予受理。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是否允许采购进口产品</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是否允许转包分包</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转包：否；分包：否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是否接受联合体投标</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bookmarkStart w:id="15" w:name="PO_15528_PM007_1"/>
            <w:r>
              <w:rPr>
                <w:rFonts w:ascii="仿宋" w:hAnsi="仿宋" w:eastAsia="仿宋"/>
                <w:color w:val="000000" w:themeColor="text1"/>
                <w:sz w:val="24"/>
                <w:szCs w:val="24"/>
                <w14:textFill>
                  <w14:solidFill>
                    <w14:schemeClr w14:val="tx1"/>
                  </w14:solidFill>
                </w14:textFill>
              </w:rPr>
              <w:t>允许联合体投标</w:t>
            </w:r>
            <w:bookmarkEnd w:id="15"/>
            <w:r>
              <w:rPr>
                <w:rFonts w:hint="eastAsia" w:ascii="仿宋" w:hAnsi="仿宋" w:eastAsia="仿宋"/>
                <w:color w:val="000000" w:themeColor="text1"/>
                <w:sz w:val="24"/>
                <w:szCs w:val="24"/>
                <w14:textFill>
                  <w14:solidFill>
                    <w14:schemeClr w14:val="tx1"/>
                  </w14:solidFill>
                </w14:textFill>
              </w:rPr>
              <w:t>（以联合体形式投标的请提供联合体协议书，协议书应明确各方拟承担的工作和责任,并指定联合体主办人,授权其代表所有联合体成员负责本项目投标和合同实施阶段的牵头、协调工作等。联合体各方应当共同与采购人签订采购合同，就采购合同约定的事项对采购人承担连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是否现场踏勘</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bookmarkStart w:id="16" w:name="PO_15528_PM040"/>
            <w:r>
              <w:rPr>
                <w:rFonts w:hint="eastAsia" w:ascii="仿宋" w:hAnsi="仿宋" w:eastAsia="仿宋"/>
                <w:color w:val="000000" w:themeColor="text1"/>
                <w:sz w:val="24"/>
                <w:szCs w:val="24"/>
                <w14:textFill>
                  <w14:solidFill>
                    <w14:schemeClr w14:val="tx1"/>
                  </w14:solidFill>
                </w14:textFill>
              </w:rPr>
              <w:t>不组织现场踏勘</w:t>
            </w:r>
            <w:bookmarkEnd w:id="16"/>
          </w:p>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具体要求详见第四章招标需求对应内容。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是否提供演示</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bookmarkStart w:id="17" w:name="PO_15528_PM041"/>
            <w:r>
              <w:rPr>
                <w:rFonts w:hint="eastAsia" w:ascii="仿宋" w:hAnsi="仿宋" w:eastAsia="仿宋"/>
                <w:color w:val="000000" w:themeColor="text1"/>
                <w:sz w:val="24"/>
                <w:szCs w:val="24"/>
                <w14:textFill>
                  <w14:solidFill>
                    <w14:schemeClr w14:val="tx1"/>
                  </w14:solidFill>
                </w14:textFill>
              </w:rPr>
              <w:t>不进行演示</w:t>
            </w:r>
            <w:bookmarkEnd w:id="17"/>
          </w:p>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具体要求详见第四章招标需求对应内容。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是否提供样品</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4"/>
                <w14:textFill>
                  <w14:solidFill>
                    <w14:schemeClr w14:val="tx1"/>
                  </w14:solidFill>
                </w14:textFill>
              </w:rPr>
            </w:pPr>
            <w:bookmarkStart w:id="18" w:name="PO_15528_PM043"/>
            <w:r>
              <w:rPr>
                <w:rFonts w:hint="eastAsia" w:ascii="仿宋" w:hAnsi="仿宋" w:eastAsia="仿宋"/>
                <w:color w:val="000000" w:themeColor="text1"/>
                <w:sz w:val="24"/>
                <w:szCs w:val="24"/>
                <w14:textFill>
                  <w14:solidFill>
                    <w14:schemeClr w14:val="tx1"/>
                  </w14:solidFill>
                </w14:textFill>
              </w:rPr>
              <w:t>不要求提供样品</w:t>
            </w:r>
            <w:bookmarkEnd w:id="18"/>
          </w:p>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具体要求详见第四章招标需求对应内容。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投标文件组成</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投标文件由开标一览表、资质文件、技术及商务文件、报价文件正本各1份组成。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中标结果公告</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w:t>
            </w:r>
            <w:r>
              <w:rPr>
                <w:rFonts w:ascii="仿宋" w:hAnsi="仿宋" w:eastAsia="仿宋"/>
                <w:color w:val="000000" w:themeColor="text1"/>
                <w:sz w:val="24"/>
                <w:szCs w:val="24"/>
                <w:lang w:val="en"/>
                <w14:textFill>
                  <w14:solidFill>
                    <w14:schemeClr w14:val="tx1"/>
                  </w14:solidFill>
                </w14:textFill>
              </w:rPr>
              <w:t>投标人</w:t>
            </w:r>
            <w:r>
              <w:rPr>
                <w:rFonts w:hint="eastAsia" w:ascii="仿宋" w:hAnsi="仿宋" w:eastAsia="仿宋"/>
                <w:color w:val="000000" w:themeColor="text1"/>
                <w:sz w:val="24"/>
                <w:szCs w:val="24"/>
                <w14:textFill>
                  <w14:solidFill>
                    <w14:schemeClr w14:val="tx1"/>
                  </w14:solidFill>
                </w14:textFill>
              </w:rPr>
              <w:t>确定之日起2个工作日内，将在</w:t>
            </w:r>
            <w:r>
              <w:rPr>
                <w:rFonts w:hint="eastAsia" w:ascii="仿宋" w:hAnsi="仿宋" w:eastAsia="仿宋" w:cs="Arial"/>
                <w:color w:val="000000" w:themeColor="text1"/>
                <w:sz w:val="24"/>
                <w:szCs w:val="24"/>
                <w14:textFill>
                  <w14:solidFill>
                    <w14:schemeClr w14:val="tx1"/>
                  </w14:solidFill>
                </w14:textFill>
              </w:rPr>
              <w:t>中国政府采购网(</w:t>
            </w:r>
            <w:r>
              <w:fldChar w:fldCharType="begin"/>
            </w:r>
            <w:r>
              <w:instrText xml:space="preserve"> HYPERLINK "http://www.ccgp.gov.cn" </w:instrText>
            </w:r>
            <w:r>
              <w:fldChar w:fldCharType="separate"/>
            </w:r>
            <w:r>
              <w:rPr>
                <w:rStyle w:val="33"/>
                <w:rFonts w:hint="eastAsia" w:ascii="仿宋" w:hAnsi="仿宋" w:eastAsia="仿宋"/>
                <w:color w:val="000000" w:themeColor="text1"/>
                <w:sz w:val="24"/>
                <w:szCs w:val="24"/>
                <w14:textFill>
                  <w14:solidFill>
                    <w14:schemeClr w14:val="tx1"/>
                  </w14:solidFill>
                </w14:textFill>
              </w:rPr>
              <w:t>http://www.ccgp.gov.cn</w:t>
            </w:r>
            <w:r>
              <w:rPr>
                <w:rStyle w:val="33"/>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中标公告，公告期限为1个工作日，采购项目负责人根据报名时预留地址寄送</w:t>
            </w:r>
            <w:r>
              <w:rPr>
                <w:rFonts w:hint="eastAsia" w:ascii="仿宋" w:hAnsi="仿宋" w:eastAsia="仿宋" w:cs="Arial"/>
                <w:color w:val="000000" w:themeColor="text1"/>
                <w:sz w:val="24"/>
                <w:szCs w:val="24"/>
                <w14:textFill>
                  <w14:solidFill>
                    <w14:schemeClr w14:val="tx1"/>
                  </w14:solidFill>
                </w14:textFill>
              </w:rPr>
              <w:t>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w:t>
            </w:r>
          </w:p>
        </w:tc>
        <w:tc>
          <w:tcPr>
            <w:tcW w:w="180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投标保证金</w:t>
            </w:r>
          </w:p>
        </w:tc>
        <w:tc>
          <w:tcPr>
            <w:tcW w:w="643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交纳投标保证金应按《公开招标采购公告》七规定交纳。</w:t>
            </w:r>
          </w:p>
          <w:p>
            <w:pPr>
              <w:autoSpaceDE w:val="0"/>
              <w:autoSpaceDN w:val="0"/>
              <w:snapToGrid w:val="0"/>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投标人为联合体的,可以由联合体中的一方或者多方共同交纳投标保证金，其交纳的投标保证金对联合体各方均具有约束力。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协议签订时间</w:t>
            </w:r>
          </w:p>
        </w:tc>
        <w:tc>
          <w:tcPr>
            <w:tcW w:w="64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16</w:t>
            </w:r>
          </w:p>
        </w:tc>
        <w:tc>
          <w:tcPr>
            <w:tcW w:w="180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履约保证金</w:t>
            </w:r>
          </w:p>
        </w:tc>
        <w:tc>
          <w:tcPr>
            <w:tcW w:w="643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17</w:t>
            </w:r>
          </w:p>
        </w:tc>
        <w:tc>
          <w:tcPr>
            <w:tcW w:w="180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付款方式</w:t>
            </w:r>
          </w:p>
        </w:tc>
        <w:tc>
          <w:tcPr>
            <w:tcW w:w="643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采购人自行支付，详见采购协议模板。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18</w:t>
            </w:r>
          </w:p>
        </w:tc>
        <w:tc>
          <w:tcPr>
            <w:tcW w:w="180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投标文件有效期</w:t>
            </w:r>
          </w:p>
        </w:tc>
        <w:tc>
          <w:tcPr>
            <w:tcW w:w="643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19</w:t>
            </w:r>
          </w:p>
        </w:tc>
        <w:tc>
          <w:tcPr>
            <w:tcW w:w="180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投标文件的接收</w:t>
            </w:r>
          </w:p>
        </w:tc>
        <w:tc>
          <w:tcPr>
            <w:tcW w:w="643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招标方于投标截止时间前通过政采云平台接收投标文件，投标文件送达回执、政府采购活动现场确认声明书（格式详见附件）应单独提供，如投标人递交投标文件时未提供回执，视同不需要回执。</w:t>
            </w:r>
          </w:p>
          <w:p>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投标人递交投标文件时，如出现下列情况之一的，投标文件将被拒收：</w:t>
            </w:r>
          </w:p>
          <w:p>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1、未成功办理投标人登记手续的；</w:t>
            </w:r>
          </w:p>
          <w:p>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2、超过投标截止时间送达的投标文件。</w:t>
            </w:r>
          </w:p>
          <w:p>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投标人在投标截止时间前，可以在政采云平台对所递交的投标文件进行补充、修改或者撤回。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3"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招标方代理费用</w:t>
            </w:r>
          </w:p>
        </w:tc>
        <w:tc>
          <w:tcPr>
            <w:tcW w:w="6430"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before="260" w:after="260" w:line="276" w:lineRule="auto"/>
              <w:jc w:val="left"/>
              <w:outlineLvl w:val="1"/>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本次招标收取中标服务费，中标服务费按照差额定率累进计费方式计取，由中标人在收到中标通知书后7个工作日内以汇款方式向招标单位一次支付。收费标准：</w:t>
            </w:r>
          </w:p>
          <w:tbl>
            <w:tblPr>
              <w:tblStyle w:val="28"/>
              <w:tblW w:w="0" w:type="auto"/>
              <w:tblInd w:w="0" w:type="dxa"/>
              <w:tblLayout w:type="fixed"/>
              <w:tblCellMar>
                <w:top w:w="0" w:type="dxa"/>
                <w:left w:w="108" w:type="dxa"/>
                <w:bottom w:w="0" w:type="dxa"/>
                <w:right w:w="108" w:type="dxa"/>
              </w:tblCellMar>
            </w:tblPr>
            <w:tblGrid>
              <w:gridCol w:w="417"/>
              <w:gridCol w:w="1093"/>
              <w:gridCol w:w="1151"/>
              <w:gridCol w:w="1336"/>
              <w:gridCol w:w="878"/>
              <w:gridCol w:w="1221"/>
            </w:tblGrid>
            <w:tr>
              <w:tblPrEx>
                <w:tblCellMar>
                  <w:top w:w="0" w:type="dxa"/>
                  <w:left w:w="108" w:type="dxa"/>
                  <w:bottom w:w="0" w:type="dxa"/>
                  <w:right w:w="108" w:type="dxa"/>
                </w:tblCellMar>
              </w:tblPrEx>
              <w:trPr>
                <w:trHeight w:val="1370" w:hRule="atLeast"/>
              </w:trPr>
              <w:tc>
                <w:tcPr>
                  <w:tcW w:w="417"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方正仿宋_GBK" w:hAnsi="方正仿宋_GBK" w:eastAsia="方正仿宋_GBK" w:cs="方正仿宋_GBK"/>
                      <w:b/>
                      <w:color w:val="000000"/>
                      <w:sz w:val="20"/>
                      <w:szCs w:val="20"/>
                    </w:rPr>
                  </w:pPr>
                  <w:r>
                    <w:rPr>
                      <w:rFonts w:hint="eastAsia" w:ascii="方正仿宋_GBK" w:hAnsi="方正仿宋_GBK" w:eastAsia="方正仿宋_GBK" w:cs="方正仿宋_GBK"/>
                      <w:b/>
                      <w:color w:val="000000"/>
                      <w:kern w:val="0"/>
                      <w:sz w:val="20"/>
                      <w:szCs w:val="20"/>
                      <w:lang w:bidi="ar"/>
                    </w:rPr>
                    <w:t>档次</w:t>
                  </w:r>
                </w:p>
              </w:tc>
              <w:tc>
                <w:tcPr>
                  <w:tcW w:w="1093"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方正仿宋_GBK" w:hAnsi="方正仿宋_GBK" w:eastAsia="方正仿宋_GBK" w:cs="方正仿宋_GBK"/>
                      <w:b/>
                      <w:color w:val="000000"/>
                      <w:kern w:val="0"/>
                      <w:sz w:val="20"/>
                      <w:szCs w:val="20"/>
                      <w:lang w:bidi="ar"/>
                    </w:rPr>
                  </w:pPr>
                  <w:r>
                    <w:rPr>
                      <w:rFonts w:hint="eastAsia" w:ascii="方正仿宋_GBK" w:hAnsi="方正仿宋_GBK" w:eastAsia="方正仿宋_GBK" w:cs="方正仿宋_GBK"/>
                      <w:b/>
                      <w:color w:val="000000"/>
                      <w:kern w:val="0"/>
                      <w:sz w:val="20"/>
                      <w:szCs w:val="20"/>
                      <w:lang w:bidi="ar"/>
                    </w:rPr>
                    <w:t>中标金额</w:t>
                  </w:r>
                </w:p>
                <w:p>
                  <w:pPr>
                    <w:widowControl/>
                    <w:jc w:val="center"/>
                    <w:textAlignment w:val="center"/>
                    <w:rPr>
                      <w:rFonts w:ascii="方正仿宋_GBK" w:hAnsi="方正仿宋_GBK" w:eastAsia="方正仿宋_GBK" w:cs="方正仿宋_GBK"/>
                      <w:b/>
                      <w:color w:val="000000"/>
                      <w:sz w:val="20"/>
                      <w:szCs w:val="20"/>
                    </w:rPr>
                  </w:pPr>
                  <w:r>
                    <w:rPr>
                      <w:rFonts w:hint="eastAsia" w:ascii="方正仿宋_GBK" w:hAnsi="方正仿宋_GBK" w:eastAsia="方正仿宋_GBK" w:cs="方正仿宋_GBK"/>
                      <w:b/>
                      <w:color w:val="000000"/>
                      <w:kern w:val="0"/>
                      <w:sz w:val="20"/>
                      <w:szCs w:val="20"/>
                      <w:lang w:bidi="ar"/>
                    </w:rPr>
                    <w:t>(万元)</w:t>
                  </w:r>
                </w:p>
              </w:tc>
              <w:tc>
                <w:tcPr>
                  <w:tcW w:w="1151"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方正仿宋_GBK" w:hAnsi="方正仿宋_GBK" w:eastAsia="方正仿宋_GBK" w:cs="方正仿宋_GBK"/>
                      <w:b/>
                      <w:color w:val="000000"/>
                      <w:kern w:val="0"/>
                      <w:sz w:val="20"/>
                      <w:szCs w:val="20"/>
                      <w:lang w:bidi="ar"/>
                    </w:rPr>
                  </w:pPr>
                  <w:r>
                    <w:rPr>
                      <w:rFonts w:hint="eastAsia" w:ascii="方正仿宋_GBK" w:hAnsi="方正仿宋_GBK" w:eastAsia="方正仿宋_GBK" w:cs="方正仿宋_GBK"/>
                      <w:b/>
                      <w:color w:val="000000"/>
                      <w:kern w:val="0"/>
                      <w:sz w:val="20"/>
                      <w:szCs w:val="20"/>
                      <w:lang w:bidi="ar"/>
                    </w:rPr>
                    <w:t>货物招标</w:t>
                  </w:r>
                </w:p>
                <w:p>
                  <w:pPr>
                    <w:widowControl/>
                    <w:jc w:val="center"/>
                    <w:textAlignment w:val="center"/>
                    <w:rPr>
                      <w:rFonts w:ascii="方正仿宋_GBK" w:hAnsi="方正仿宋_GBK" w:eastAsia="方正仿宋_GBK" w:cs="方正仿宋_GBK"/>
                      <w:b/>
                      <w:color w:val="000000"/>
                      <w:sz w:val="20"/>
                      <w:szCs w:val="20"/>
                    </w:rPr>
                  </w:pPr>
                  <w:r>
                    <w:rPr>
                      <w:rFonts w:hint="eastAsia" w:ascii="方正仿宋_GBK" w:hAnsi="方正仿宋_GBK" w:eastAsia="方正仿宋_GBK" w:cs="方正仿宋_GBK"/>
                      <w:b/>
                      <w:color w:val="000000"/>
                      <w:kern w:val="0"/>
                      <w:sz w:val="20"/>
                      <w:szCs w:val="20"/>
                      <w:lang w:bidi="ar"/>
                    </w:rPr>
                    <w:t>计费率</w:t>
                  </w:r>
                </w:p>
              </w:tc>
              <w:tc>
                <w:tcPr>
                  <w:tcW w:w="1336"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方正仿宋_GBK" w:hAnsi="方正仿宋_GBK" w:eastAsia="方正仿宋_GBK" w:cs="方正仿宋_GBK"/>
                      <w:b/>
                      <w:color w:val="000000"/>
                      <w:sz w:val="20"/>
                      <w:szCs w:val="20"/>
                    </w:rPr>
                  </w:pPr>
                  <w:r>
                    <w:rPr>
                      <w:rFonts w:hint="eastAsia" w:ascii="方正仿宋_GBK" w:hAnsi="方正仿宋_GBK" w:eastAsia="方正仿宋_GBK" w:cs="方正仿宋_GBK"/>
                      <w:b/>
                      <w:color w:val="000000"/>
                      <w:kern w:val="0"/>
                      <w:sz w:val="20"/>
                      <w:szCs w:val="20"/>
                      <w:lang w:bidi="ar"/>
                    </w:rPr>
                    <w:t>累计服务费</w:t>
                  </w:r>
                  <w:r>
                    <w:rPr>
                      <w:rFonts w:hint="eastAsia" w:ascii="方正仿宋_GBK" w:hAnsi="方正仿宋_GBK" w:eastAsia="方正仿宋_GBK" w:cs="方正仿宋_GBK"/>
                      <w:b/>
                      <w:color w:val="000000"/>
                      <w:kern w:val="0"/>
                      <w:sz w:val="20"/>
                      <w:szCs w:val="20"/>
                      <w:lang w:bidi="ar"/>
                    </w:rPr>
                    <w:br w:type="textWrapping"/>
                  </w:r>
                  <w:r>
                    <w:rPr>
                      <w:rFonts w:hint="eastAsia" w:ascii="方正仿宋_GBK" w:hAnsi="方正仿宋_GBK" w:eastAsia="方正仿宋_GBK" w:cs="方正仿宋_GBK"/>
                      <w:b/>
                      <w:color w:val="000000"/>
                      <w:kern w:val="0"/>
                      <w:sz w:val="20"/>
                      <w:szCs w:val="20"/>
                      <w:lang w:bidi="ar"/>
                    </w:rPr>
                    <w:t>(元)</w:t>
                  </w:r>
                </w:p>
              </w:tc>
              <w:tc>
                <w:tcPr>
                  <w:tcW w:w="878"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方正仿宋_GBK" w:hAnsi="方正仿宋_GBK" w:eastAsia="方正仿宋_GBK" w:cs="方正仿宋_GBK"/>
                      <w:b/>
                      <w:color w:val="000000"/>
                      <w:kern w:val="0"/>
                      <w:sz w:val="20"/>
                      <w:szCs w:val="20"/>
                      <w:lang w:bidi="ar"/>
                    </w:rPr>
                  </w:pPr>
                  <w:r>
                    <w:rPr>
                      <w:rFonts w:hint="eastAsia" w:ascii="方正仿宋_GBK" w:hAnsi="方正仿宋_GBK" w:eastAsia="方正仿宋_GBK" w:cs="方正仿宋_GBK"/>
                      <w:b/>
                      <w:color w:val="000000"/>
                      <w:kern w:val="0"/>
                      <w:sz w:val="20"/>
                      <w:szCs w:val="20"/>
                      <w:lang w:bidi="ar"/>
                    </w:rPr>
                    <w:t>服务</w:t>
                  </w:r>
                </w:p>
                <w:p>
                  <w:pPr>
                    <w:widowControl/>
                    <w:jc w:val="center"/>
                    <w:textAlignment w:val="center"/>
                    <w:rPr>
                      <w:rFonts w:ascii="方正仿宋_GBK" w:hAnsi="方正仿宋_GBK" w:eastAsia="方正仿宋_GBK" w:cs="方正仿宋_GBK"/>
                      <w:b/>
                      <w:color w:val="000000"/>
                      <w:kern w:val="0"/>
                      <w:sz w:val="20"/>
                      <w:szCs w:val="20"/>
                      <w:lang w:bidi="ar"/>
                    </w:rPr>
                  </w:pPr>
                  <w:r>
                    <w:rPr>
                      <w:rFonts w:hint="eastAsia" w:ascii="方正仿宋_GBK" w:hAnsi="方正仿宋_GBK" w:eastAsia="方正仿宋_GBK" w:cs="方正仿宋_GBK"/>
                      <w:b/>
                      <w:color w:val="000000"/>
                      <w:kern w:val="0"/>
                      <w:sz w:val="20"/>
                      <w:szCs w:val="20"/>
                      <w:lang w:bidi="ar"/>
                    </w:rPr>
                    <w:t>招标</w:t>
                  </w:r>
                </w:p>
                <w:p>
                  <w:pPr>
                    <w:widowControl/>
                    <w:jc w:val="center"/>
                    <w:textAlignment w:val="center"/>
                    <w:rPr>
                      <w:rFonts w:ascii="方正仿宋_GBK" w:hAnsi="方正仿宋_GBK" w:eastAsia="方正仿宋_GBK" w:cs="方正仿宋_GBK"/>
                      <w:b/>
                      <w:color w:val="000000"/>
                      <w:sz w:val="20"/>
                      <w:szCs w:val="20"/>
                    </w:rPr>
                  </w:pPr>
                  <w:r>
                    <w:rPr>
                      <w:rFonts w:hint="eastAsia" w:ascii="方正仿宋_GBK" w:hAnsi="方正仿宋_GBK" w:eastAsia="方正仿宋_GBK" w:cs="方正仿宋_GBK"/>
                      <w:b/>
                      <w:color w:val="000000"/>
                      <w:kern w:val="0"/>
                      <w:sz w:val="20"/>
                      <w:szCs w:val="20"/>
                      <w:lang w:bidi="ar"/>
                    </w:rPr>
                    <w:t>计费率</w:t>
                  </w:r>
                </w:p>
              </w:tc>
              <w:tc>
                <w:tcPr>
                  <w:tcW w:w="1221"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方正仿宋_GBK" w:hAnsi="方正仿宋_GBK" w:eastAsia="方正仿宋_GBK" w:cs="方正仿宋_GBK"/>
                      <w:b/>
                      <w:color w:val="000000"/>
                      <w:sz w:val="20"/>
                      <w:szCs w:val="20"/>
                    </w:rPr>
                  </w:pPr>
                  <w:r>
                    <w:rPr>
                      <w:rFonts w:hint="eastAsia" w:ascii="方正仿宋_GBK" w:hAnsi="方正仿宋_GBK" w:eastAsia="方正仿宋_GBK" w:cs="方正仿宋_GBK"/>
                      <w:b/>
                      <w:color w:val="000000"/>
                      <w:kern w:val="0"/>
                      <w:sz w:val="20"/>
                      <w:szCs w:val="20"/>
                      <w:lang w:bidi="ar"/>
                    </w:rPr>
                    <w:t>累计服务费</w:t>
                  </w:r>
                  <w:r>
                    <w:rPr>
                      <w:rFonts w:hint="eastAsia" w:ascii="方正仿宋_GBK" w:hAnsi="方正仿宋_GBK" w:eastAsia="方正仿宋_GBK" w:cs="方正仿宋_GBK"/>
                      <w:b/>
                      <w:color w:val="000000"/>
                      <w:kern w:val="0"/>
                      <w:sz w:val="20"/>
                      <w:szCs w:val="20"/>
                      <w:lang w:bidi="ar"/>
                    </w:rPr>
                    <w:br w:type="textWrapping"/>
                  </w:r>
                  <w:r>
                    <w:rPr>
                      <w:rFonts w:hint="eastAsia" w:ascii="方正仿宋_GBK" w:hAnsi="方正仿宋_GBK" w:eastAsia="方正仿宋_GBK" w:cs="方正仿宋_GBK"/>
                      <w:b/>
                      <w:color w:val="000000"/>
                      <w:kern w:val="0"/>
                      <w:sz w:val="20"/>
                      <w:szCs w:val="20"/>
                      <w:lang w:bidi="ar"/>
                    </w:rPr>
                    <w:t>(元)</w:t>
                  </w:r>
                </w:p>
              </w:tc>
            </w:tr>
            <w:tr>
              <w:trPr>
                <w:trHeight w:val="395"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100以下</w:t>
                  </w:r>
                </w:p>
              </w:tc>
              <w:tc>
                <w:tcPr>
                  <w:tcW w:w="1151" w:type="dxa"/>
                  <w:tcBorders>
                    <w:top w:val="single" w:color="000000" w:sz="4" w:space="0"/>
                    <w:left w:val="single" w:color="000000" w:sz="4" w:space="0"/>
                    <w:bottom w:val="single" w:color="000000" w:sz="4" w:space="0"/>
                    <w:right w:val="single" w:color="000000" w:sz="4" w:space="0"/>
                  </w:tcBorders>
                  <w:shd w:val="clear" w:color="auto" w:fill="F6CC46"/>
                  <w:vAlign w:val="center"/>
                </w:tcPr>
                <w:p>
                  <w:pPr>
                    <w:widowControl/>
                    <w:jc w:val="center"/>
                    <w:textAlignment w:val="center"/>
                    <w:rPr>
                      <w:rFonts w:ascii="方正仿宋_GBK" w:hAnsi="方正仿宋_GBK" w:eastAsia="方正仿宋_GBK" w:cs="方正仿宋_GBK"/>
                      <w:color w:val="7E4C00"/>
                      <w:sz w:val="18"/>
                      <w:szCs w:val="18"/>
                    </w:rPr>
                  </w:pPr>
                  <w:r>
                    <w:rPr>
                      <w:rFonts w:hint="eastAsia" w:ascii="方正仿宋_GBK" w:hAnsi="方正仿宋_GBK" w:eastAsia="方正仿宋_GBK" w:cs="方正仿宋_GBK"/>
                      <w:color w:val="7E4C00"/>
                      <w:kern w:val="0"/>
                      <w:sz w:val="18"/>
                      <w:szCs w:val="18"/>
                      <w:lang w:bidi="ar"/>
                    </w:rPr>
                    <w:t>1.50%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15,000.00</w:t>
                  </w:r>
                </w:p>
              </w:tc>
              <w:tc>
                <w:tcPr>
                  <w:tcW w:w="878" w:type="dxa"/>
                  <w:tcBorders>
                    <w:top w:val="single" w:color="000000" w:sz="4" w:space="0"/>
                    <w:left w:val="single" w:color="000000" w:sz="4" w:space="0"/>
                    <w:bottom w:val="single" w:color="000000" w:sz="4" w:space="0"/>
                    <w:right w:val="single" w:color="000000" w:sz="4" w:space="0"/>
                  </w:tcBorders>
                  <w:shd w:val="clear" w:color="auto" w:fill="F6CC46"/>
                  <w:vAlign w:val="center"/>
                </w:tcPr>
                <w:p>
                  <w:pPr>
                    <w:widowControl/>
                    <w:jc w:val="center"/>
                    <w:textAlignment w:val="center"/>
                    <w:rPr>
                      <w:rFonts w:ascii="方正仿宋_GBK" w:hAnsi="方正仿宋_GBK" w:eastAsia="方正仿宋_GBK" w:cs="方正仿宋_GBK"/>
                      <w:color w:val="7E4C00"/>
                      <w:sz w:val="18"/>
                      <w:szCs w:val="18"/>
                    </w:rPr>
                  </w:pPr>
                  <w:r>
                    <w:rPr>
                      <w:rFonts w:hint="eastAsia" w:ascii="方正仿宋_GBK" w:hAnsi="方正仿宋_GBK" w:eastAsia="方正仿宋_GBK" w:cs="方正仿宋_GBK"/>
                      <w:color w:val="7E4C00"/>
                      <w:kern w:val="0"/>
                      <w:sz w:val="18"/>
                      <w:szCs w:val="18"/>
                      <w:lang w:bidi="ar"/>
                    </w:rPr>
                    <w:t>1.50%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15,000.00</w:t>
                  </w:r>
                </w:p>
              </w:tc>
            </w:tr>
            <w:tr>
              <w:tblPrEx>
                <w:tblCellMar>
                  <w:top w:w="0" w:type="dxa"/>
                  <w:left w:w="108" w:type="dxa"/>
                  <w:bottom w:w="0" w:type="dxa"/>
                  <w:right w:w="108" w:type="dxa"/>
                </w:tblCellMar>
              </w:tblPrEx>
              <w:trPr>
                <w:trHeight w:val="405"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超100-500以下</w:t>
                  </w:r>
                </w:p>
              </w:tc>
              <w:tc>
                <w:tcPr>
                  <w:tcW w:w="1151" w:type="dxa"/>
                  <w:tcBorders>
                    <w:top w:val="single" w:color="000000" w:sz="4" w:space="0"/>
                    <w:left w:val="single" w:color="000000" w:sz="4" w:space="0"/>
                    <w:bottom w:val="single" w:color="000000" w:sz="4" w:space="0"/>
                    <w:right w:val="single" w:color="000000" w:sz="4" w:space="0"/>
                  </w:tcBorders>
                  <w:shd w:val="clear" w:color="auto" w:fill="F6CC46"/>
                  <w:vAlign w:val="center"/>
                </w:tcPr>
                <w:p>
                  <w:pPr>
                    <w:widowControl/>
                    <w:jc w:val="center"/>
                    <w:textAlignment w:val="center"/>
                    <w:rPr>
                      <w:rFonts w:ascii="方正仿宋_GBK" w:hAnsi="方正仿宋_GBK" w:eastAsia="方正仿宋_GBK" w:cs="方正仿宋_GBK"/>
                      <w:color w:val="7E4C00"/>
                      <w:sz w:val="18"/>
                      <w:szCs w:val="18"/>
                    </w:rPr>
                  </w:pPr>
                  <w:r>
                    <w:rPr>
                      <w:rFonts w:hint="eastAsia" w:ascii="方正仿宋_GBK" w:hAnsi="方正仿宋_GBK" w:eastAsia="方正仿宋_GBK" w:cs="方正仿宋_GBK"/>
                      <w:color w:val="7E4C00"/>
                      <w:kern w:val="0"/>
                      <w:sz w:val="18"/>
                      <w:szCs w:val="18"/>
                      <w:lang w:bidi="ar"/>
                    </w:rPr>
                    <w:t>1.10%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59,000.00</w:t>
                  </w:r>
                </w:p>
              </w:tc>
              <w:tc>
                <w:tcPr>
                  <w:tcW w:w="878" w:type="dxa"/>
                  <w:tcBorders>
                    <w:top w:val="single" w:color="000000" w:sz="4" w:space="0"/>
                    <w:left w:val="single" w:color="000000" w:sz="4" w:space="0"/>
                    <w:bottom w:val="single" w:color="000000" w:sz="4" w:space="0"/>
                    <w:right w:val="single" w:color="000000" w:sz="4" w:space="0"/>
                  </w:tcBorders>
                  <w:shd w:val="clear" w:color="auto" w:fill="F6CC46"/>
                  <w:vAlign w:val="center"/>
                </w:tcPr>
                <w:p>
                  <w:pPr>
                    <w:widowControl/>
                    <w:jc w:val="center"/>
                    <w:textAlignment w:val="center"/>
                    <w:rPr>
                      <w:rFonts w:ascii="方正仿宋_GBK" w:hAnsi="方正仿宋_GBK" w:eastAsia="方正仿宋_GBK" w:cs="方正仿宋_GBK"/>
                      <w:color w:val="7E4C00"/>
                      <w:sz w:val="18"/>
                      <w:szCs w:val="18"/>
                    </w:rPr>
                  </w:pPr>
                  <w:r>
                    <w:rPr>
                      <w:rFonts w:hint="eastAsia" w:ascii="方正仿宋_GBK" w:hAnsi="方正仿宋_GBK" w:eastAsia="方正仿宋_GBK" w:cs="方正仿宋_GBK"/>
                      <w:color w:val="7E4C00"/>
                      <w:kern w:val="0"/>
                      <w:sz w:val="18"/>
                      <w:szCs w:val="18"/>
                      <w:lang w:bidi="ar"/>
                    </w:rPr>
                    <w:t>0.80%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47,000.00</w:t>
                  </w:r>
                </w:p>
              </w:tc>
            </w:tr>
            <w:tr>
              <w:trPr>
                <w:trHeight w:val="414"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500-1000以下</w:t>
                  </w:r>
                </w:p>
              </w:tc>
              <w:tc>
                <w:tcPr>
                  <w:tcW w:w="1151" w:type="dxa"/>
                  <w:tcBorders>
                    <w:top w:val="single" w:color="000000" w:sz="4" w:space="0"/>
                    <w:left w:val="single" w:color="000000" w:sz="4" w:space="0"/>
                    <w:bottom w:val="single" w:color="000000" w:sz="4" w:space="0"/>
                    <w:right w:val="single" w:color="000000" w:sz="4" w:space="0"/>
                  </w:tcBorders>
                  <w:shd w:val="clear" w:color="auto" w:fill="F6CC46"/>
                  <w:vAlign w:val="center"/>
                </w:tcPr>
                <w:p>
                  <w:pPr>
                    <w:widowControl/>
                    <w:jc w:val="center"/>
                    <w:textAlignment w:val="center"/>
                    <w:rPr>
                      <w:rFonts w:ascii="方正仿宋_GBK" w:hAnsi="方正仿宋_GBK" w:eastAsia="方正仿宋_GBK" w:cs="方正仿宋_GBK"/>
                      <w:color w:val="7E4C00"/>
                      <w:sz w:val="18"/>
                      <w:szCs w:val="18"/>
                    </w:rPr>
                  </w:pPr>
                  <w:r>
                    <w:rPr>
                      <w:rFonts w:hint="eastAsia" w:ascii="方正仿宋_GBK" w:hAnsi="方正仿宋_GBK" w:eastAsia="方正仿宋_GBK" w:cs="方正仿宋_GBK"/>
                      <w:color w:val="7E4C00"/>
                      <w:kern w:val="0"/>
                      <w:sz w:val="18"/>
                      <w:szCs w:val="18"/>
                      <w:lang w:bidi="ar"/>
                    </w:rPr>
                    <w:t>0.80%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99,000.00</w:t>
                  </w:r>
                </w:p>
              </w:tc>
              <w:tc>
                <w:tcPr>
                  <w:tcW w:w="878" w:type="dxa"/>
                  <w:tcBorders>
                    <w:top w:val="single" w:color="000000" w:sz="4" w:space="0"/>
                    <w:left w:val="single" w:color="000000" w:sz="4" w:space="0"/>
                    <w:bottom w:val="single" w:color="000000" w:sz="4" w:space="0"/>
                    <w:right w:val="single" w:color="000000" w:sz="4" w:space="0"/>
                  </w:tcBorders>
                  <w:shd w:val="clear" w:color="auto" w:fill="F6CC46"/>
                  <w:vAlign w:val="center"/>
                </w:tcPr>
                <w:p>
                  <w:pPr>
                    <w:widowControl/>
                    <w:jc w:val="center"/>
                    <w:textAlignment w:val="center"/>
                    <w:rPr>
                      <w:rFonts w:ascii="方正仿宋_GBK" w:hAnsi="方正仿宋_GBK" w:eastAsia="方正仿宋_GBK" w:cs="方正仿宋_GBK"/>
                      <w:color w:val="7E4C00"/>
                      <w:sz w:val="18"/>
                      <w:szCs w:val="18"/>
                    </w:rPr>
                  </w:pPr>
                  <w:r>
                    <w:rPr>
                      <w:rFonts w:hint="eastAsia" w:ascii="方正仿宋_GBK" w:hAnsi="方正仿宋_GBK" w:eastAsia="方正仿宋_GBK" w:cs="方正仿宋_GBK"/>
                      <w:color w:val="7E4C00"/>
                      <w:kern w:val="0"/>
                      <w:sz w:val="18"/>
                      <w:szCs w:val="18"/>
                      <w:lang w:bidi="ar"/>
                    </w:rPr>
                    <w:t>0.45%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69,500.00</w:t>
                  </w:r>
                </w:p>
              </w:tc>
            </w:tr>
            <w:tr>
              <w:tblPrEx>
                <w:tblCellMar>
                  <w:top w:w="0" w:type="dxa"/>
                  <w:left w:w="108" w:type="dxa"/>
                  <w:bottom w:w="0" w:type="dxa"/>
                  <w:right w:w="108" w:type="dxa"/>
                </w:tblCellMar>
              </w:tblPrEx>
              <w:trPr>
                <w:trHeight w:val="46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超过1000—5000以下</w:t>
                  </w:r>
                </w:p>
              </w:tc>
              <w:tc>
                <w:tcPr>
                  <w:tcW w:w="1151" w:type="dxa"/>
                  <w:tcBorders>
                    <w:top w:val="single" w:color="000000" w:sz="4" w:space="0"/>
                    <w:left w:val="single" w:color="000000" w:sz="4" w:space="0"/>
                    <w:bottom w:val="single" w:color="000000" w:sz="4" w:space="0"/>
                    <w:right w:val="single" w:color="000000" w:sz="4" w:space="0"/>
                  </w:tcBorders>
                  <w:shd w:val="clear" w:color="auto" w:fill="F6CC46"/>
                  <w:vAlign w:val="center"/>
                </w:tcPr>
                <w:p>
                  <w:pPr>
                    <w:widowControl/>
                    <w:jc w:val="center"/>
                    <w:textAlignment w:val="center"/>
                    <w:rPr>
                      <w:rFonts w:ascii="方正仿宋_GBK" w:hAnsi="方正仿宋_GBK" w:eastAsia="方正仿宋_GBK" w:cs="方正仿宋_GBK"/>
                      <w:color w:val="7E4C00"/>
                      <w:sz w:val="18"/>
                      <w:szCs w:val="18"/>
                    </w:rPr>
                  </w:pPr>
                  <w:r>
                    <w:rPr>
                      <w:rFonts w:hint="eastAsia" w:ascii="方正仿宋_GBK" w:hAnsi="方正仿宋_GBK" w:eastAsia="方正仿宋_GBK" w:cs="方正仿宋_GBK"/>
                      <w:color w:val="7E4C00"/>
                      <w:kern w:val="0"/>
                      <w:sz w:val="18"/>
                      <w:szCs w:val="18"/>
                      <w:lang w:bidi="ar"/>
                    </w:rPr>
                    <w:t>0.50%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299,000.00</w:t>
                  </w:r>
                </w:p>
              </w:tc>
              <w:tc>
                <w:tcPr>
                  <w:tcW w:w="878" w:type="dxa"/>
                  <w:tcBorders>
                    <w:top w:val="single" w:color="000000" w:sz="4" w:space="0"/>
                    <w:left w:val="single" w:color="000000" w:sz="4" w:space="0"/>
                    <w:bottom w:val="single" w:color="000000" w:sz="4" w:space="0"/>
                    <w:right w:val="single" w:color="000000" w:sz="4" w:space="0"/>
                  </w:tcBorders>
                  <w:shd w:val="clear" w:color="auto" w:fill="F6CC46"/>
                  <w:vAlign w:val="center"/>
                </w:tcPr>
                <w:p>
                  <w:pPr>
                    <w:widowControl/>
                    <w:jc w:val="center"/>
                    <w:textAlignment w:val="center"/>
                    <w:rPr>
                      <w:rFonts w:ascii="方正仿宋_GBK" w:hAnsi="方正仿宋_GBK" w:eastAsia="方正仿宋_GBK" w:cs="方正仿宋_GBK"/>
                      <w:color w:val="7E4C00"/>
                      <w:sz w:val="18"/>
                      <w:szCs w:val="18"/>
                    </w:rPr>
                  </w:pPr>
                  <w:r>
                    <w:rPr>
                      <w:rFonts w:hint="eastAsia" w:ascii="方正仿宋_GBK" w:hAnsi="方正仿宋_GBK" w:eastAsia="方正仿宋_GBK" w:cs="方正仿宋_GBK"/>
                      <w:color w:val="7E4C00"/>
                      <w:kern w:val="0"/>
                      <w:sz w:val="18"/>
                      <w:szCs w:val="18"/>
                      <w:lang w:bidi="ar"/>
                    </w:rPr>
                    <w:t>0.25%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169,500.00</w:t>
                  </w:r>
                </w:p>
              </w:tc>
            </w:tr>
            <w:tr>
              <w:trPr>
                <w:trHeight w:val="624" w:hRule="atLeast"/>
              </w:trPr>
              <w:tc>
                <w:tcPr>
                  <w:tcW w:w="60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方正仿宋_GBK" w:hAnsi="方正仿宋_GBK" w:eastAsia="方正仿宋_GBK" w:cs="方正仿宋_GBK"/>
                      <w:color w:val="000000"/>
                    </w:rPr>
                  </w:pPr>
                  <w:r>
                    <w:rPr>
                      <w:rFonts w:hint="eastAsia" w:ascii="方正仿宋_GBK" w:hAnsi="方正仿宋_GBK" w:eastAsia="方正仿宋_GBK" w:cs="方正仿宋_GBK"/>
                      <w:lang w:bidi="ar"/>
                    </w:rPr>
                    <w:t>代理服务收费按差额定率累进法计算</w:t>
                  </w:r>
                  <w:r>
                    <w:rPr>
                      <w:rFonts w:hint="eastAsia" w:ascii="方正仿宋_GBK" w:hAnsi="方正仿宋_GBK" w:eastAsia="方正仿宋_GBK" w:cs="方正仿宋_GBK"/>
                      <w:lang w:bidi="ar"/>
                    </w:rPr>
                    <w:br w:type="textWrapping"/>
                  </w:r>
                  <w:r>
                    <w:rPr>
                      <w:rFonts w:hint="eastAsia" w:ascii="方正仿宋_GBK" w:hAnsi="方正仿宋_GBK" w:eastAsia="方正仿宋_GBK" w:cs="方正仿宋_GBK"/>
                      <w:lang w:bidi="ar"/>
                    </w:rPr>
                    <w:t>1.差额定率累进法：按资产金额大小划分收费档次，分档计算收费额，各档累加为收费总额。</w:t>
                  </w:r>
                  <w:r>
                    <w:rPr>
                      <w:rFonts w:hint="eastAsia" w:ascii="方正仿宋_GBK" w:hAnsi="方正仿宋_GBK" w:eastAsia="方正仿宋_GBK" w:cs="方正仿宋_GBK"/>
                      <w:lang w:bidi="ar"/>
                    </w:rPr>
                    <w:br w:type="textWrapping"/>
                  </w:r>
                  <w:r>
                    <w:rPr>
                      <w:rFonts w:hint="eastAsia" w:ascii="方正仿宋_GBK" w:hAnsi="方正仿宋_GBK" w:eastAsia="方正仿宋_GBK" w:cs="方正仿宋_GBK"/>
                      <w:lang w:bidi="ar"/>
                    </w:rPr>
                    <w:t>2.假设货物招标成交金额为5000万元，那么按照一定的要求可以计算得到相关结果：</w:t>
                  </w:r>
                  <w:r>
                    <w:rPr>
                      <w:rFonts w:hint="eastAsia" w:ascii="方正仿宋_GBK" w:hAnsi="方正仿宋_GBK" w:eastAsia="方正仿宋_GBK" w:cs="方正仿宋_GBK"/>
                      <w:lang w:bidi="ar"/>
                    </w:rPr>
                    <w:br w:type="textWrapping"/>
                  </w:r>
                  <w:r>
                    <w:rPr>
                      <w:rFonts w:hint="eastAsia" w:ascii="方正仿宋_GBK" w:hAnsi="方正仿宋_GBK" w:eastAsia="方正仿宋_GBK" w:cs="方正仿宋_GBK"/>
                      <w:lang w:bidi="ar"/>
                    </w:rPr>
                    <w:t>①100万元以下部分： 100×1.5%=1.5万元；</w:t>
                  </w:r>
                  <w:r>
                    <w:rPr>
                      <w:rFonts w:hint="eastAsia" w:ascii="方正仿宋_GBK" w:hAnsi="方正仿宋_GBK" w:eastAsia="方正仿宋_GBK" w:cs="方正仿宋_GBK"/>
                      <w:lang w:bidi="ar"/>
                    </w:rPr>
                    <w:br w:type="textWrapping"/>
                  </w:r>
                  <w:r>
                    <w:rPr>
                      <w:rFonts w:hint="eastAsia" w:ascii="方正仿宋_GBK" w:hAnsi="方正仿宋_GBK" w:eastAsia="方正仿宋_GBK" w:cs="方正仿宋_GBK"/>
                      <w:lang w:bidi="ar"/>
                    </w:rPr>
                    <w:t>②100万元-500万元部分： 400×1.1%=4.4万元；</w:t>
                  </w:r>
                  <w:r>
                    <w:rPr>
                      <w:rFonts w:hint="eastAsia" w:ascii="方正仿宋_GBK" w:hAnsi="方正仿宋_GBK" w:eastAsia="方正仿宋_GBK" w:cs="方正仿宋_GBK"/>
                      <w:lang w:bidi="ar"/>
                    </w:rPr>
                    <w:br w:type="textWrapping"/>
                  </w:r>
                  <w:r>
                    <w:rPr>
                      <w:rFonts w:hint="eastAsia" w:ascii="方正仿宋_GBK" w:hAnsi="方正仿宋_GBK" w:eastAsia="方正仿宋_GBK" w:cs="方正仿宋_GBK"/>
                      <w:lang w:bidi="ar"/>
                    </w:rPr>
                    <w:t>③500万元-1000万元部分： 500×0.8%=4万元；</w:t>
                  </w:r>
                  <w:r>
                    <w:rPr>
                      <w:rFonts w:hint="eastAsia" w:ascii="方正仿宋_GBK" w:hAnsi="方正仿宋_GBK" w:eastAsia="方正仿宋_GBK" w:cs="方正仿宋_GBK"/>
                      <w:lang w:bidi="ar"/>
                    </w:rPr>
                    <w:br w:type="textWrapping"/>
                  </w:r>
                  <w:r>
                    <w:rPr>
                      <w:rFonts w:hint="eastAsia" w:ascii="方正仿宋_GBK" w:hAnsi="方正仿宋_GBK" w:eastAsia="方正仿宋_GBK" w:cs="方正仿宋_GBK"/>
                      <w:lang w:bidi="ar"/>
                    </w:rPr>
                    <w:t>④1000万元-5000万元部分： 4000×0.5%=20万元；</w:t>
                  </w:r>
                  <w:r>
                    <w:rPr>
                      <w:rFonts w:hint="eastAsia" w:ascii="方正仿宋_GBK" w:hAnsi="方正仿宋_GBK" w:eastAsia="方正仿宋_GBK" w:cs="方正仿宋_GBK"/>
                      <w:lang w:bidi="ar"/>
                    </w:rPr>
                    <w:br w:type="textWrapping"/>
                  </w:r>
                  <w:r>
                    <w:rPr>
                      <w:rFonts w:hint="eastAsia" w:ascii="方正仿宋_GBK" w:hAnsi="方正仿宋_GBK" w:eastAsia="方正仿宋_GBK" w:cs="方正仿宋_GBK"/>
                      <w:lang w:bidi="ar"/>
                    </w:rPr>
                    <w:t>⑤合计：1.5+4.4+4+20= 29.9万。</w:t>
                  </w:r>
                </w:p>
              </w:tc>
            </w:tr>
            <w:tr>
              <w:tblPrEx>
                <w:tblCellMar>
                  <w:top w:w="0" w:type="dxa"/>
                  <w:left w:w="108" w:type="dxa"/>
                  <w:bottom w:w="0" w:type="dxa"/>
                  <w:right w:w="108" w:type="dxa"/>
                </w:tblCellMar>
              </w:tblPrEx>
              <w:trPr>
                <w:trHeight w:val="624" w:hRule="atLeast"/>
              </w:trPr>
              <w:tc>
                <w:tcPr>
                  <w:tcW w:w="60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方正仿宋_GBK" w:hAnsi="方正仿宋_GBK" w:eastAsia="方正仿宋_GBK" w:cs="方正仿宋_GBK"/>
                      <w:color w:val="000000"/>
                      <w:sz w:val="22"/>
                    </w:rPr>
                  </w:pPr>
                </w:p>
              </w:tc>
            </w:tr>
            <w:tr>
              <w:trPr>
                <w:trHeight w:val="624" w:hRule="atLeast"/>
              </w:trPr>
              <w:tc>
                <w:tcPr>
                  <w:tcW w:w="60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方正仿宋_GBK" w:hAnsi="方正仿宋_GBK" w:eastAsia="方正仿宋_GBK" w:cs="方正仿宋_GBK"/>
                      <w:color w:val="000000"/>
                      <w:sz w:val="22"/>
                    </w:rPr>
                  </w:pPr>
                </w:p>
              </w:tc>
            </w:tr>
            <w:tr>
              <w:tblPrEx>
                <w:tblCellMar>
                  <w:top w:w="0" w:type="dxa"/>
                  <w:left w:w="108" w:type="dxa"/>
                  <w:bottom w:w="0" w:type="dxa"/>
                  <w:right w:w="108" w:type="dxa"/>
                </w:tblCellMar>
              </w:tblPrEx>
              <w:trPr>
                <w:trHeight w:val="624" w:hRule="atLeast"/>
              </w:trPr>
              <w:tc>
                <w:tcPr>
                  <w:tcW w:w="60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方正仿宋_GBK" w:hAnsi="方正仿宋_GBK" w:eastAsia="方正仿宋_GBK" w:cs="方正仿宋_GBK"/>
                      <w:color w:val="000000"/>
                      <w:sz w:val="22"/>
                    </w:rPr>
                  </w:pPr>
                </w:p>
              </w:tc>
            </w:tr>
            <w:tr>
              <w:trPr>
                <w:trHeight w:val="624" w:hRule="atLeast"/>
              </w:trPr>
              <w:tc>
                <w:tcPr>
                  <w:tcW w:w="60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方正仿宋_GBK" w:hAnsi="方正仿宋_GBK" w:eastAsia="方正仿宋_GBK" w:cs="方正仿宋_GBK"/>
                      <w:color w:val="000000"/>
                      <w:sz w:val="22"/>
                    </w:rPr>
                  </w:pPr>
                </w:p>
              </w:tc>
            </w:tr>
            <w:tr>
              <w:tblPrEx>
                <w:tblCellMar>
                  <w:top w:w="0" w:type="dxa"/>
                  <w:left w:w="108" w:type="dxa"/>
                  <w:bottom w:w="0" w:type="dxa"/>
                  <w:right w:w="108" w:type="dxa"/>
                </w:tblCellMar>
              </w:tblPrEx>
              <w:trPr>
                <w:trHeight w:val="624" w:hRule="atLeast"/>
              </w:trPr>
              <w:tc>
                <w:tcPr>
                  <w:tcW w:w="60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方正仿宋_GBK" w:hAnsi="方正仿宋_GBK" w:eastAsia="方正仿宋_GBK" w:cs="方正仿宋_GBK"/>
                      <w:color w:val="000000"/>
                      <w:sz w:val="22"/>
                    </w:rPr>
                  </w:pPr>
                </w:p>
              </w:tc>
            </w:tr>
            <w:tr>
              <w:trPr>
                <w:trHeight w:val="624" w:hRule="atLeast"/>
              </w:trPr>
              <w:tc>
                <w:tcPr>
                  <w:tcW w:w="60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方正仿宋_GBK" w:hAnsi="方正仿宋_GBK" w:eastAsia="方正仿宋_GBK" w:cs="方正仿宋_GBK"/>
                      <w:color w:val="000000"/>
                      <w:sz w:val="22"/>
                    </w:rPr>
                  </w:pPr>
                </w:p>
              </w:tc>
            </w:tr>
            <w:tr>
              <w:tblPrEx>
                <w:tblCellMar>
                  <w:top w:w="0" w:type="dxa"/>
                  <w:left w:w="108" w:type="dxa"/>
                  <w:bottom w:w="0" w:type="dxa"/>
                  <w:right w:w="108" w:type="dxa"/>
                </w:tblCellMar>
              </w:tblPrEx>
              <w:trPr>
                <w:trHeight w:val="1260" w:hRule="atLeast"/>
              </w:trPr>
              <w:tc>
                <w:tcPr>
                  <w:tcW w:w="60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方正仿宋_GBK" w:hAnsi="方正仿宋_GBK" w:eastAsia="方正仿宋_GBK" w:cs="方正仿宋_GBK"/>
                      <w:color w:val="000000"/>
                      <w:sz w:val="22"/>
                    </w:rPr>
                  </w:pPr>
                </w:p>
              </w:tc>
            </w:tr>
          </w:tbl>
          <w:p>
            <w:pPr>
              <w:keepNext/>
              <w:keepLines/>
              <w:snapToGrid w:val="0"/>
              <w:spacing w:before="260" w:after="260" w:line="276" w:lineRule="auto"/>
              <w:jc w:val="left"/>
              <w:outlineLvl w:val="1"/>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w:t>
            </w:r>
          </w:p>
        </w:tc>
        <w:tc>
          <w:tcPr>
            <w:tcW w:w="18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解释权</w:t>
            </w:r>
          </w:p>
        </w:tc>
        <w:tc>
          <w:tcPr>
            <w:tcW w:w="6430"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本招标文件的解释权属于国家体育总局体育器材装备中心。</w:t>
            </w:r>
          </w:p>
        </w:tc>
      </w:tr>
    </w:tbl>
    <w:p>
      <w:pPr>
        <w:pStyle w:val="16"/>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ascii="仿宋" w:hAnsi="仿宋" w:eastAsia="仿宋_GB2312"/>
          <w:color w:val="000000" w:themeColor="text1"/>
          <w:sz w:val="30"/>
          <w:szCs w:val="30"/>
          <w14:textFill>
            <w14:solidFill>
              <w14:schemeClr w14:val="tx1"/>
            </w14:solidFill>
          </w14:textFill>
        </w:rPr>
        <w:br w:type="page"/>
      </w:r>
      <w:r>
        <w:rPr>
          <w:rFonts w:hint="eastAsia" w:ascii="仿宋" w:hAnsi="仿宋" w:eastAsia="仿宋"/>
          <w:b/>
          <w:color w:val="000000" w:themeColor="text1"/>
          <w:sz w:val="30"/>
          <w:szCs w:val="30"/>
          <w14:textFill>
            <w14:solidFill>
              <w14:schemeClr w14:val="tx1"/>
            </w14:solidFill>
          </w14:textFill>
        </w:rPr>
        <w:t>一、总  则</w:t>
      </w:r>
    </w:p>
    <w:p>
      <w:pPr>
        <w:snapToGrid w:val="0"/>
        <w:spacing w:line="460" w:lineRule="exact"/>
        <w:ind w:firstLine="416" w:firstLineChars="148"/>
        <w:jc w:val="left"/>
        <w:outlineLvl w:val="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（一）适用范围</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pPr>
        <w:snapToGrid w:val="0"/>
        <w:spacing w:before="156" w:beforeLines="50" w:line="460" w:lineRule="exact"/>
        <w:ind w:firstLine="413" w:firstLineChars="147"/>
        <w:jc w:val="left"/>
        <w:outlineLvl w:val="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（二）定义</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1、“招标方”系指组织本项目采购的国家体育总局体育器材装备中心。</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2、“投标人”系指向招标方提交投标文件的单位或个人。</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3、“采购人”系指委托招标方采购本次货物、服务项目的国家体育总局。</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4、“货物”系指招标文件规定投标人须向采购人提供的一切材料、设备、机械、仪器仪表、工具及其它有关技术资料和文字材料。</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5、“服务”系指招标文件规定投标人须承担的劳务以及其他类似的义务。</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6、“项目”系指投标人按招标文件规定向采购人提供的需求总称。</w:t>
      </w:r>
    </w:p>
    <w:p>
      <w:pPr>
        <w:snapToGrid w:val="0"/>
        <w:spacing w:before="156" w:beforeLines="50" w:line="460" w:lineRule="exact"/>
        <w:ind w:firstLine="550" w:firstLineChars="196"/>
        <w:jc w:val="left"/>
        <w:outlineLvl w:val="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（三）投标人及委托有关说明</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1、授权代表须携带有效身份证件。如授权代表不是法定代表人，须有法定代表人出具的授权委托书（投标文件正本用原件，副本用复印件，格式见附件）。</w:t>
      </w:r>
    </w:p>
    <w:p>
      <w:pPr>
        <w:pStyle w:val="16"/>
        <w:snapToGrid w:val="0"/>
        <w:spacing w:before="156" w:after="156" w:line="460" w:lineRule="exact"/>
        <w:ind w:left="2" w:leftChars="1"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2、投标人投标所使用的资格、信誉、荣誉、业绩与企业认证必须为本法人所拥有。</w:t>
      </w:r>
    </w:p>
    <w:p>
      <w:pPr>
        <w:snapToGrid w:val="0"/>
        <w:spacing w:line="460" w:lineRule="exact"/>
        <w:ind w:firstLine="560" w:firstLineChars="200"/>
        <w:rPr>
          <w:rFonts w:ascii="仿宋" w:hAnsi="仿宋" w:eastAsia="仿宋" w:cs="Arial"/>
          <w:b/>
          <w:bCs/>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3、</w:t>
      </w:r>
      <w:r>
        <w:rPr>
          <w:rFonts w:hint="eastAsia" w:ascii="仿宋" w:hAnsi="仿宋" w:eastAsia="仿宋" w:cs="Arial"/>
          <w:b/>
          <w:bCs/>
          <w:color w:val="000000" w:themeColor="text1"/>
          <w:sz w:val="28"/>
          <w:szCs w:val="28"/>
          <w14:textFill>
            <w14:solidFill>
              <w14:schemeClr w14:val="tx1"/>
            </w14:solidFill>
          </w14:textFill>
        </w:rPr>
        <w:t>以联合体形式参加政府采购活动的，联合体各方不得再单独参加或者与其他</w:t>
      </w:r>
      <w:r>
        <w:rPr>
          <w:rFonts w:ascii="仿宋" w:hAnsi="仿宋" w:eastAsia="仿宋" w:cs="Arial"/>
          <w:b/>
          <w:bCs/>
          <w:color w:val="000000" w:themeColor="text1"/>
          <w:sz w:val="28"/>
          <w:szCs w:val="28"/>
          <w:lang w:val="en"/>
          <w14:textFill>
            <w14:solidFill>
              <w14:schemeClr w14:val="tx1"/>
            </w14:solidFill>
          </w14:textFill>
        </w:rPr>
        <w:t>投标人</w:t>
      </w:r>
      <w:r>
        <w:rPr>
          <w:rFonts w:hint="eastAsia" w:ascii="仿宋" w:hAnsi="仿宋" w:eastAsia="仿宋" w:cs="Arial"/>
          <w:b/>
          <w:bCs/>
          <w:color w:val="000000" w:themeColor="text1"/>
          <w:sz w:val="28"/>
          <w:szCs w:val="28"/>
          <w14:textFill>
            <w14:solidFill>
              <w14:schemeClr w14:val="tx1"/>
            </w14:solidFill>
          </w14:textFill>
        </w:rPr>
        <w:t>另外组成联合体参加同一合同项下的政府采购活动。</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4、 单位负责人为同一人或者存在直接控股、管理关系的不同</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，不得参加同一合同项下的政府采购活动。</w:t>
      </w:r>
    </w:p>
    <w:p>
      <w:pPr>
        <w:pStyle w:val="16"/>
        <w:snapToGrid w:val="0"/>
        <w:spacing w:beforeLines="0" w:afterLines="0" w:line="460" w:lineRule="exact"/>
        <w:ind w:left="2" w:leftChars="1"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5、投标人应仔细阅读招标文件的所有内容，按照招标文件的要求提交投标文件，并对所提供的全部资料的真实性承担法律责任。</w:t>
      </w:r>
    </w:p>
    <w:p>
      <w:pPr>
        <w:snapToGrid w:val="0"/>
        <w:spacing w:before="156" w:beforeLines="50" w:line="460" w:lineRule="exact"/>
        <w:ind w:firstLine="550" w:firstLineChars="196"/>
        <w:jc w:val="left"/>
        <w:outlineLvl w:val="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（四）投标费用</w:t>
      </w:r>
    </w:p>
    <w:p>
      <w:pPr>
        <w:snapToGrid w:val="0"/>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不论投标结果如何，投标人均应自行承担所有与投标有关的全部费用（招标文件有其他相反规定除外）。</w:t>
      </w:r>
    </w:p>
    <w:p>
      <w:pPr>
        <w:snapToGrid w:val="0"/>
        <w:spacing w:line="460" w:lineRule="exact"/>
        <w:ind w:firstLine="416" w:firstLineChars="148"/>
        <w:jc w:val="left"/>
        <w:outlineLvl w:val="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（五）质疑</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1、投标人对采购事项有疑问的，可以向招标方提出询问。</w:t>
      </w:r>
    </w:p>
    <w:p>
      <w:pPr>
        <w:widowControl/>
        <w:spacing w:line="4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2、招标程序受《中华人民共和国政府采购法》</w:t>
      </w:r>
      <w:r>
        <w:rPr>
          <w:rFonts w:hint="eastAsia" w:ascii="仿宋" w:hAnsi="仿宋" w:eastAsia="仿宋" w:cs="Arial"/>
          <w:bCs/>
          <w:color w:val="000000" w:themeColor="text1"/>
          <w:sz w:val="28"/>
          <w:szCs w:val="28"/>
          <w14:textFill>
            <w14:solidFill>
              <w14:schemeClr w14:val="tx1"/>
            </w14:solidFill>
          </w14:textFill>
        </w:rPr>
        <w:t>等</w:t>
      </w:r>
      <w:r>
        <w:rPr>
          <w:rFonts w:hint="eastAsia" w:ascii="仿宋" w:hAnsi="仿宋" w:eastAsia="仿宋" w:cs="Arial"/>
          <w:color w:val="000000" w:themeColor="text1"/>
          <w:sz w:val="28"/>
          <w:szCs w:val="28"/>
          <w14:textFill>
            <w14:solidFill>
              <w14:schemeClr w14:val="tx1"/>
            </w14:solidFill>
          </w14:textFill>
        </w:rPr>
        <w:t>相关法律法规的约束，并受到严格的内部监察，以确保授予合同过程的公平公正。</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认为采购文件、采购过程、中标结果使自己的权益受到损害的，可以在知道或者应知其权益受到损害之日起7个工作日内，以书面形式向招标方提出质疑。提出质疑的</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应当是参与所质疑项目采购活动的</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。潜在</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已依法获取其可质疑的采购文件的，可以对该文件提出质疑。对采购文件提出质疑的，应当在获取采购文件或者采购文件公告期限届满之日起7个工作日内提出。对中标结果提出质疑的，应在中标公告发布之日起七个工作日内提出。</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应该在法定质疑期内一次性提出针对同一采购程序环节的质疑。接收质疑函及必要证明材料联系人：俞冠男，联系电话：</w:t>
      </w:r>
      <w:r>
        <w:rPr>
          <w:rFonts w:ascii="仿宋" w:hAnsi="仿宋" w:eastAsia="仿宋" w:cs="Arial"/>
          <w:color w:val="000000" w:themeColor="text1"/>
          <w:sz w:val="28"/>
          <w:szCs w:val="28"/>
          <w14:textFill>
            <w14:solidFill>
              <w14:schemeClr w14:val="tx1"/>
            </w14:solidFill>
          </w14:textFill>
        </w:rPr>
        <w:t>010-8718</w:t>
      </w:r>
      <w:r>
        <w:rPr>
          <w:rFonts w:hint="eastAsia" w:ascii="仿宋" w:hAnsi="仿宋" w:eastAsia="仿宋" w:cs="Arial"/>
          <w:color w:val="000000" w:themeColor="text1"/>
          <w:sz w:val="28"/>
          <w:szCs w:val="28"/>
          <w14:textFill>
            <w14:solidFill>
              <w14:schemeClr w14:val="tx1"/>
            </w14:solidFill>
          </w14:textFill>
        </w:rPr>
        <w:t>2666。</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如认为整个招标过程中招标方工作人员有违规违纪行为的，可向国家体育总局体育器材装备中心纪检部门以书面形式提出，书面文件应注明联系人、联系方式且加盖单位公章，密封后递交至国家体育总局体育器材装备中心纪检监察室。</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3、质疑应当以书面形式提出，格式见《</w:t>
      </w:r>
      <w:r>
        <w:rPr>
          <w:rFonts w:ascii="仿宋" w:hAnsi="仿宋" w:eastAsia="仿宋" w:cs="Arial"/>
          <w:color w:val="000000" w:themeColor="text1"/>
          <w:sz w:val="28"/>
          <w:szCs w:val="28"/>
          <w14:textFill>
            <w14:solidFill>
              <w14:schemeClr w14:val="tx1"/>
            </w14:solidFill>
          </w14:textFill>
        </w:rPr>
        <w:t>政府采购质疑和投诉办法</w:t>
      </w:r>
      <w:r>
        <w:rPr>
          <w:rFonts w:hint="eastAsia" w:ascii="仿宋" w:hAnsi="仿宋" w:eastAsia="仿宋" w:cs="Arial"/>
          <w:color w:val="000000" w:themeColor="text1"/>
          <w:sz w:val="28"/>
          <w:szCs w:val="28"/>
          <w14:textFill>
            <w14:solidFill>
              <w14:schemeClr w14:val="tx1"/>
            </w14:solidFill>
          </w14:textFill>
        </w:rPr>
        <w:t>》（</w:t>
      </w:r>
      <w:r>
        <w:rPr>
          <w:rFonts w:ascii="仿宋" w:hAnsi="仿宋" w:eastAsia="仿宋" w:cs="Arial"/>
          <w:color w:val="000000" w:themeColor="text1"/>
          <w:sz w:val="28"/>
          <w:szCs w:val="28"/>
          <w14:textFill>
            <w14:solidFill>
              <w14:schemeClr w14:val="tx1"/>
            </w14:solidFill>
          </w14:textFill>
        </w:rPr>
        <w:t>财政部令第94号</w:t>
      </w:r>
      <w:r>
        <w:rPr>
          <w:rFonts w:hint="eastAsia" w:ascii="仿宋" w:hAnsi="仿宋" w:eastAsia="仿宋" w:cs="Arial"/>
          <w:color w:val="000000" w:themeColor="text1"/>
          <w:sz w:val="28"/>
          <w:szCs w:val="28"/>
          <w14:textFill>
            <w14:solidFill>
              <w14:schemeClr w14:val="tx1"/>
            </w14:solidFill>
          </w14:textFill>
        </w:rPr>
        <w:t>）附件范本，下载网址：中国政府采购网(www.ccgp.gov.cn)，位置：“首页-下载专区-政府采购</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质疑函范本”。</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提出质疑应当提交质疑函和必要的证明材料。质疑函应当包括下列内容：</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的姓名或者名称、地址、邮编、联系人及联系电话；</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b质疑项目的名称、编号；</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c具体、明确的质疑事项和与质疑事项相关的请求；</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d事实依据；</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e必要的法律依据；</w:t>
      </w:r>
    </w:p>
    <w:p>
      <w:pPr>
        <w:widowControl/>
        <w:spacing w:line="460" w:lineRule="exact"/>
        <w:ind w:firstLine="560" w:firstLineChars="200"/>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f提出质疑的日期。</w:t>
      </w:r>
    </w:p>
    <w:p>
      <w:pPr>
        <w:snapToGrid w:val="0"/>
        <w:spacing w:line="460" w:lineRule="exact"/>
        <w:ind w:firstLine="414" w:firstLineChars="148"/>
        <w:jc w:val="left"/>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为自然人的，应当由本人签字；</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为法人或者其他组织的，应当由法定代表人、主要负责人，或者其授权代表签字或者盖章，并加盖公章</w:t>
      </w:r>
      <w:r>
        <w:rPr>
          <w:rFonts w:ascii="仿宋" w:hAnsi="仿宋" w:eastAsia="仿宋" w:cs="Arial"/>
          <w:color w:val="000000" w:themeColor="text1"/>
          <w:sz w:val="28"/>
          <w:szCs w:val="28"/>
          <w14:textFill>
            <w14:solidFill>
              <w14:schemeClr w14:val="tx1"/>
            </w14:solidFill>
          </w14:textFill>
        </w:rPr>
        <w:t>。</w:t>
      </w:r>
      <w:r>
        <w:rPr>
          <w:rFonts w:hint="eastAsia" w:ascii="仿宋" w:hAnsi="仿宋" w:eastAsia="仿宋" w:cs="Arial"/>
          <w:color w:val="000000" w:themeColor="text1"/>
          <w:sz w:val="28"/>
          <w:szCs w:val="28"/>
          <w14:textFill>
            <w14:solidFill>
              <w14:schemeClr w14:val="tx1"/>
            </w14:solidFill>
          </w14:textFill>
        </w:rPr>
        <w:t>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质疑函不符合《政府采购质疑和投诉办法》相关规定的，应在规定期限内补齐的，招标方自收到补齐材料之日起受理；逾期未补齐的，按自动撤回质疑处理。</w:t>
      </w:r>
    </w:p>
    <w:p>
      <w:pPr>
        <w:snapToGrid w:val="0"/>
        <w:spacing w:line="460" w:lineRule="exact"/>
        <w:ind w:firstLine="414" w:firstLineChars="148"/>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4、招标方将在收到书面质疑后7个工作日内审查质疑事项，做出答复或相关处理决定，并以书面形式通知质疑</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和其他有关</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，但答复的内容不涉及商业秘密。</w:t>
      </w:r>
    </w:p>
    <w:p>
      <w:pPr>
        <w:snapToGrid w:val="0"/>
        <w:spacing w:line="460" w:lineRule="exact"/>
        <w:ind w:firstLine="414" w:firstLineChars="148"/>
        <w:jc w:val="lef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5、质疑</w:t>
      </w:r>
      <w:r>
        <w:rPr>
          <w:rFonts w:ascii="仿宋" w:hAnsi="仿宋" w:eastAsia="仿宋" w:cs="Arial"/>
          <w:color w:val="000000" w:themeColor="text1"/>
          <w:sz w:val="28"/>
          <w:szCs w:val="28"/>
          <w:lang w:val="en"/>
          <w14:textFill>
            <w14:solidFill>
              <w14:schemeClr w14:val="tx1"/>
            </w14:solidFill>
          </w14:textFill>
        </w:rPr>
        <w:t>投标人</w:t>
      </w:r>
      <w:r>
        <w:rPr>
          <w:rFonts w:hint="eastAsia" w:ascii="仿宋" w:hAnsi="仿宋" w:eastAsia="仿宋" w:cs="Arial"/>
          <w:color w:val="000000" w:themeColor="text1"/>
          <w:sz w:val="28"/>
          <w:szCs w:val="28"/>
          <w14:textFill>
            <w14:solidFill>
              <w14:schemeClr w14:val="tx1"/>
            </w14:solidFill>
          </w14:textFill>
        </w:rPr>
        <w:t>对招标方的答复不满意以及招标方未在规定的时间内做出答复的， 可以在答复期满后15个工作日内向财政部投诉。</w:t>
      </w:r>
    </w:p>
    <w:p>
      <w:pPr>
        <w:snapToGrid w:val="0"/>
        <w:spacing w:line="460" w:lineRule="exact"/>
        <w:ind w:firstLine="416" w:firstLineChars="148"/>
        <w:jc w:val="left"/>
        <w:outlineLvl w:val="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（六）招标文件的澄清与修改 </w:t>
      </w:r>
    </w:p>
    <w:p>
      <w:pPr>
        <w:pStyle w:val="16"/>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投标人应认真阅读本招标文件，发现其中有误或有不合理要求的，投标人</w:t>
      </w:r>
      <w:r>
        <w:rPr>
          <w:rFonts w:hint="eastAsia" w:ascii="仿宋" w:hAnsi="仿宋" w:eastAsia="仿宋"/>
          <w:color w:val="000000" w:themeColor="text1"/>
          <w:sz w:val="28"/>
          <w:szCs w:val="28"/>
          <w14:textFill>
            <w14:solidFill>
              <w14:schemeClr w14:val="tx1"/>
            </w14:solidFill>
          </w14:textFill>
        </w:rPr>
        <w:t>应当</w:t>
      </w:r>
      <w:r>
        <w:rPr>
          <w:rFonts w:hint="eastAsia" w:ascii="仿宋" w:hAnsi="仿宋" w:eastAsia="仿宋"/>
          <w:bCs/>
          <w:color w:val="000000" w:themeColor="text1"/>
          <w:sz w:val="28"/>
          <w:szCs w:val="28"/>
          <w14:textFill>
            <w14:solidFill>
              <w14:schemeClr w14:val="tx1"/>
            </w14:solidFill>
          </w14:textFill>
        </w:rPr>
        <w:t>于公告发布之日起至公告期限满第7个工作日内以书面形式向招标方提出。招标方将在规定的时</w:t>
      </w:r>
      <w:r>
        <w:rPr>
          <w:rFonts w:hint="eastAsia" w:ascii="仿宋" w:hAnsi="仿宋" w:eastAsia="仿宋"/>
          <w:color w:val="000000" w:themeColor="text1"/>
          <w:sz w:val="28"/>
          <w:szCs w:val="28"/>
          <w14:textFill>
            <w14:solidFill>
              <w14:schemeClr w14:val="tx1"/>
            </w14:solidFill>
          </w14:textFill>
        </w:rPr>
        <w:t>间内，在财政部门指定的政府采购信息发布媒体上发布更正公告，并以书面形式通知所有招标文件收受人。</w:t>
      </w:r>
      <w:r>
        <w:rPr>
          <w:rFonts w:hint="eastAsia" w:ascii="仿宋" w:hAnsi="仿宋" w:eastAsia="仿宋"/>
          <w:b/>
          <w:color w:val="000000" w:themeColor="text1"/>
          <w:sz w:val="28"/>
          <w:szCs w:val="28"/>
          <w14:textFill>
            <w14:solidFill>
              <w14:schemeClr w14:val="tx1"/>
            </w14:solidFill>
          </w14:textFill>
        </w:rPr>
        <w:t>逾期提出招标方将不予受理。</w:t>
      </w:r>
    </w:p>
    <w:p>
      <w:pPr>
        <w:pStyle w:val="16"/>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pPr>
        <w:pStyle w:val="16"/>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pPr>
        <w:pStyle w:val="16"/>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二、投标文件的编制</w:t>
      </w:r>
    </w:p>
    <w:p>
      <w:pPr>
        <w:snapToGrid w:val="0"/>
        <w:spacing w:line="460" w:lineRule="exact"/>
        <w:ind w:firstLine="550"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（一）投标文件的组成</w:t>
      </w:r>
    </w:p>
    <w:p>
      <w:pPr>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投标文件由开标一览表、资质文件、技术及商务文件、投标报价文件</w:t>
      </w:r>
      <w:r>
        <w:rPr>
          <w:rFonts w:hint="eastAsia" w:ascii="仿宋" w:hAnsi="仿宋" w:eastAsia="仿宋"/>
          <w:color w:val="000000" w:themeColor="text1"/>
          <w:sz w:val="28"/>
          <w:szCs w:val="28"/>
          <w:lang w:eastAsia="zh-CN"/>
          <w14:textFill>
            <w14:solidFill>
              <w14:schemeClr w14:val="tx1"/>
            </w14:solidFill>
          </w14:textFill>
        </w:rPr>
        <w:t>四部分</w:t>
      </w:r>
      <w:r>
        <w:rPr>
          <w:rFonts w:hint="eastAsia" w:ascii="仿宋" w:hAnsi="仿宋" w:eastAsia="仿宋"/>
          <w:color w:val="000000" w:themeColor="text1"/>
          <w:sz w:val="28"/>
          <w:szCs w:val="28"/>
          <w14:textFill>
            <w14:solidFill>
              <w14:schemeClr w14:val="tx1"/>
            </w14:solidFill>
          </w14:textFill>
        </w:rPr>
        <w:t>组成。投标人须按标项编制投标文件。</w:t>
      </w:r>
    </w:p>
    <w:p>
      <w:pPr>
        <w:snapToGrid w:val="0"/>
        <w:spacing w:before="156" w:beforeLines="50" w:line="460" w:lineRule="exact"/>
        <w:ind w:firstLine="550" w:firstLineChars="196"/>
        <w:jc w:val="left"/>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1、开标一览表</w:t>
      </w:r>
      <w:r>
        <w:rPr>
          <w:rFonts w:hint="eastAsia" w:ascii="仿宋" w:hAnsi="仿宋" w:eastAsia="仿宋"/>
          <w:b/>
          <w:color w:val="000000" w:themeColor="text1"/>
          <w:sz w:val="28"/>
          <w:szCs w:val="28"/>
          <w14:textFill>
            <w14:solidFill>
              <w14:schemeClr w14:val="tx1"/>
            </w14:solidFill>
          </w14:textFill>
        </w:rPr>
        <w:t>（格式见本文件附件1）</w:t>
      </w:r>
    </w:p>
    <w:p>
      <w:pPr>
        <w:snapToGrid w:val="0"/>
        <w:spacing w:before="156" w:beforeLines="50" w:line="460" w:lineRule="exact"/>
        <w:ind w:firstLine="550"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2、资质文件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（1）投标声明书(格式见附件，含重大违法记录声明)，如为联合体形式投标，则联合体中各方均出具该文件；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（2）法定代表人证明书或授权委托书(格式见附件，若为联合体形式投标，则须出具联合投标授权委托书，联合体各方均盖章确认)；</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提供有效的营业执照复印件并加盖公司公章；事业单位的，则提供有效的《事业单位法人证书》副本复印件并加盖单位公章；自然人的，则提供有效的身份证复印件并签字。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提供有效的依法缴纳税收证明（至投标文件递交截止日一年内任意一个月的完税凭证或税务部门出具的证明，非个人所得税），依法免税的投标人须提供相应文件证明其依法免税。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提供有效的依法缴纳社会保障资金证明（至投标文件递交截止日一年内任意一个月的缴纳凭证或人社部门出具的证明），依法不需要缴纳社会保障资金的投标人，须提供相应文件证明其不需要缴纳社会保障资金；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投标人基本开户银行出具的资信证明，或参与本采购项目两年内（2023或2024年度）任意一年经审计的财务报告复印件，须包括“四表一注”：资产负债表、利润表、现金流量表、所有者权益变动表及其附注（如“四表一注”在合法合规前提下有缺少的情况，须提供出具相应审计报告的审计机构加盖公章的情况说明函），或财政部门认可的专业担保机构出具的针对本项目的投标担保函；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提供与本投标人单位负责人为同一人或者存在直接控股、管理关系的不同单位（主体）的清单；如投标人无此类关联单位（主体），则需作出声明承诺。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（8）中小企业声明函（见附件，若需要）；</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（9）联合投标协议书（以联合体形式投标时须提供，格式自拟）</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（10）提供采购公告中符合投标人特定条件要求的有效的其他资质复印件并加盖公司公章及需要说明的资料（若需要）。</w:t>
      </w:r>
    </w:p>
    <w:p>
      <w:pPr>
        <w:tabs>
          <w:tab w:val="left" w:pos="3524"/>
        </w:tabs>
        <w:snapToGrid w:val="0"/>
        <w:spacing w:line="460" w:lineRule="exact"/>
        <w:ind w:firstLine="550"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3、技术及商务文件</w:t>
      </w:r>
      <w:r>
        <w:rPr>
          <w:rFonts w:ascii="仿宋" w:hAnsi="仿宋" w:eastAsia="仿宋"/>
          <w:b/>
          <w:color w:val="000000" w:themeColor="text1"/>
          <w:sz w:val="28"/>
          <w:szCs w:val="28"/>
          <w14:textFill>
            <w14:solidFill>
              <w14:schemeClr w14:val="tx1"/>
            </w14:solidFill>
          </w14:textFill>
        </w:rPr>
        <w:tab/>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（1）评分对应表（格式见附件，主要用于评委对应评分内容）；</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（2）投标项目明细清单；</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（3）技术响应表（格式见附件）；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（4）商务响应表（格式见附件）；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（5）投标人同类项目服务的业绩；</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bidi="ar"/>
          <w14:textFill>
            <w14:solidFill>
              <w14:schemeClr w14:val="tx1"/>
            </w14:solidFill>
          </w14:textFill>
        </w:rPr>
        <w:t>（6）</w:t>
      </w:r>
      <w:r>
        <w:rPr>
          <w:rFonts w:hint="eastAsia" w:ascii="仿宋" w:hAnsi="仿宋" w:eastAsia="仿宋"/>
          <w:color w:val="000000"/>
          <w:sz w:val="28"/>
          <w:szCs w:val="28"/>
          <w:lang w:bidi="ar"/>
        </w:rPr>
        <w:t>项目负责人资质和业绩</w:t>
      </w:r>
      <w:r>
        <w:rPr>
          <w:rFonts w:hint="eastAsia" w:ascii="仿宋" w:hAnsi="仿宋" w:eastAsia="仿宋"/>
          <w:color w:val="000000" w:themeColor="text1"/>
          <w:sz w:val="28"/>
          <w:szCs w:val="28"/>
          <w:lang w:bidi="ar"/>
          <w14:textFill>
            <w14:solidFill>
              <w14:schemeClr w14:val="tx1"/>
            </w14:solidFill>
          </w14:textFill>
        </w:rPr>
        <w:t>；</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（7）项目团队成员情况（核心、主要及其他人员）；</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（8）项目服务方案（包括但不限于</w:t>
      </w:r>
      <w:r>
        <w:rPr>
          <w:rFonts w:hint="eastAsia" w:ascii="仿宋" w:hAnsi="仿宋" w:eastAsia="仿宋"/>
          <w:color w:val="000000"/>
          <w:sz w:val="28"/>
          <w:szCs w:val="28"/>
        </w:rPr>
        <w:t>“奔跑吧·少年”赛事活动填报系统服务方案、体育基础数据统计填报系统服务方案、三大球运动会赛事信息系统服务方案、技术运行服务方案、等保测评与第三方测试</w:t>
      </w:r>
      <w:r>
        <w:rPr>
          <w:rFonts w:hint="eastAsia" w:ascii="仿宋" w:hAnsi="仿宋" w:eastAsia="仿宋"/>
          <w:color w:val="000000" w:themeColor="text1"/>
          <w:sz w:val="28"/>
          <w:szCs w:val="28"/>
          <w14:textFill>
            <w14:solidFill>
              <w14:schemeClr w14:val="tx1"/>
            </w14:solidFill>
          </w14:textFill>
        </w:rPr>
        <w:t>服务方案</w:t>
      </w:r>
      <w:r>
        <w:rPr>
          <w:rFonts w:hint="eastAsia" w:ascii="仿宋" w:hAnsi="仿宋" w:eastAsia="仿宋"/>
          <w:color w:val="000000"/>
          <w:sz w:val="28"/>
          <w:szCs w:val="28"/>
        </w:rPr>
        <w:t>、组织实施</w:t>
      </w:r>
      <w:r>
        <w:rPr>
          <w:rFonts w:hint="eastAsia" w:ascii="仿宋" w:hAnsi="仿宋" w:eastAsia="仿宋"/>
          <w:color w:val="000000" w:themeColor="text1"/>
          <w:sz w:val="28"/>
          <w:szCs w:val="28"/>
          <w14:textFill>
            <w14:solidFill>
              <w14:schemeClr w14:val="tx1"/>
            </w14:solidFill>
          </w14:textFill>
        </w:rPr>
        <w:t>方案</w:t>
      </w:r>
      <w:r>
        <w:rPr>
          <w:rFonts w:hint="eastAsia" w:ascii="仿宋" w:hAnsi="仿宋" w:eastAsia="仿宋"/>
          <w:color w:val="000000"/>
          <w:sz w:val="28"/>
          <w:szCs w:val="28"/>
        </w:rPr>
        <w:t>、应急预案、质量保证计划、进度管理计划</w:t>
      </w:r>
      <w:r>
        <w:rPr>
          <w:rFonts w:hint="eastAsia" w:ascii="仿宋" w:hAnsi="仿宋" w:eastAsia="仿宋"/>
          <w:color w:val="000000" w:themeColor="text1"/>
          <w:sz w:val="28"/>
          <w:szCs w:val="28"/>
          <w14:textFill>
            <w14:solidFill>
              <w14:schemeClr w14:val="tx1"/>
            </w14:solidFill>
          </w14:textFill>
        </w:rPr>
        <w:t>）；</w:t>
      </w:r>
    </w:p>
    <w:p>
      <w:pPr>
        <w:snapToGrid w:val="0"/>
        <w:spacing w:line="460" w:lineRule="exact"/>
        <w:ind w:firstLine="548"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（9）投标人认为需要的其他文件资料。</w:t>
      </w:r>
    </w:p>
    <w:p>
      <w:pPr>
        <w:snapToGrid w:val="0"/>
        <w:spacing w:line="460" w:lineRule="exact"/>
        <w:ind w:firstLine="550"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4、报价文件：</w:t>
      </w:r>
    </w:p>
    <w:p>
      <w:pPr>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（1）投标报价明细表（格式见附件）；</w:t>
      </w:r>
    </w:p>
    <w:p>
      <w:pPr>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（2）投标人针对报价需要说明的其他文件和说明（格式自拟）；</w:t>
      </w:r>
    </w:p>
    <w:p>
      <w:pPr>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（3）中小企业声明函（若有，格式见附件）；</w:t>
      </w:r>
    </w:p>
    <w:p>
      <w:pPr>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（4）残疾人福利企业声明函（若有，格式见附件）。</w:t>
      </w:r>
    </w:p>
    <w:p>
      <w:pPr>
        <w:pStyle w:val="23"/>
        <w:spacing w:line="46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注：法定代表人授权委托书、投标声明书、投标报价明细表必须按招标文件格式要求正确签署并加盖投标人公章。资质文件、技术及商务文件中不得出现项目报价信息，否则将作无效标处理。</w:t>
      </w:r>
    </w:p>
    <w:p>
      <w:pPr>
        <w:snapToGrid w:val="0"/>
        <w:spacing w:line="460" w:lineRule="exact"/>
        <w:ind w:firstLine="550"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（二）投标文件的语言及计量</w:t>
      </w:r>
    </w:p>
    <w:p>
      <w:pPr>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pPr>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w:t>
      </w:r>
      <w:r>
        <w:rPr>
          <w:rFonts w:hint="eastAsia" w:ascii="仿宋" w:hAnsi="仿宋" w:eastAsia="仿宋"/>
          <w:b/>
          <w:bCs/>
          <w:color w:val="000000" w:themeColor="text1"/>
          <w:sz w:val="28"/>
          <w:szCs w:val="28"/>
          <w14:textFill>
            <w14:solidFill>
              <w14:schemeClr w14:val="tx1"/>
            </w14:solidFill>
          </w14:textFill>
        </w:rPr>
        <w:t>否则将作无效标处理</w:t>
      </w:r>
      <w:r>
        <w:rPr>
          <w:rFonts w:hint="eastAsia" w:ascii="仿宋" w:hAnsi="仿宋" w:eastAsia="仿宋"/>
          <w:color w:val="000000" w:themeColor="text1"/>
          <w:sz w:val="28"/>
          <w:szCs w:val="28"/>
          <w14:textFill>
            <w14:solidFill>
              <w14:schemeClr w14:val="tx1"/>
            </w14:solidFill>
          </w14:textFill>
        </w:rPr>
        <w:t>。</w:t>
      </w:r>
    </w:p>
    <w:p>
      <w:pPr>
        <w:pStyle w:val="8"/>
        <w:widowControl w:val="0"/>
        <w:tabs>
          <w:tab w:val="clear" w:pos="454"/>
        </w:tabs>
        <w:snapToGrid w:val="0"/>
        <w:spacing w:before="156" w:beforeLines="50" w:afterLines="0" w:line="460" w:lineRule="exact"/>
        <w:ind w:left="0" w:firstLine="550"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（三）投标文件的有效期</w:t>
      </w:r>
    </w:p>
    <w:p>
      <w:pPr>
        <w:pStyle w:val="8"/>
        <w:widowControl w:val="0"/>
        <w:tabs>
          <w:tab w:val="left" w:pos="630"/>
          <w:tab w:val="clear" w:pos="454"/>
        </w:tabs>
        <w:snapToGrid w:val="0"/>
        <w:spacing w:after="156" w:line="460" w:lineRule="exact"/>
        <w:ind w:left="0"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1、自投标截止日起90天内投标文件应保持有效。</w:t>
      </w:r>
      <w:r>
        <w:rPr>
          <w:rFonts w:hint="eastAsia" w:ascii="仿宋" w:hAnsi="仿宋" w:eastAsia="仿宋"/>
          <w:b/>
          <w:color w:val="000000" w:themeColor="text1"/>
          <w:sz w:val="28"/>
          <w:szCs w:val="28"/>
          <w14:textFill>
            <w14:solidFill>
              <w14:schemeClr w14:val="tx1"/>
            </w14:solidFill>
          </w14:textFill>
        </w:rPr>
        <w:t>有效期不足的投标文件</w:t>
      </w:r>
      <w:r>
        <w:rPr>
          <w:rFonts w:hint="eastAsia" w:ascii="仿宋" w:hAnsi="仿宋" w:eastAsia="仿宋"/>
          <w:b/>
          <w:bCs/>
          <w:color w:val="000000" w:themeColor="text1"/>
          <w:sz w:val="28"/>
          <w:szCs w:val="28"/>
          <w14:textFill>
            <w14:solidFill>
              <w14:schemeClr w14:val="tx1"/>
            </w14:solidFill>
          </w14:textFill>
        </w:rPr>
        <w:t>将作无效标处理</w:t>
      </w:r>
      <w:r>
        <w:rPr>
          <w:rFonts w:hint="eastAsia" w:ascii="仿宋" w:hAnsi="仿宋" w:eastAsia="仿宋"/>
          <w:b/>
          <w:color w:val="000000" w:themeColor="text1"/>
          <w:sz w:val="28"/>
          <w:szCs w:val="28"/>
          <w14:textFill>
            <w14:solidFill>
              <w14:schemeClr w14:val="tx1"/>
            </w14:solidFill>
          </w14:textFill>
        </w:rPr>
        <w:t>。</w:t>
      </w:r>
    </w:p>
    <w:p>
      <w:pPr>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2、中标人的投标文件自开标之日起至合同履行完毕止均应保持有效。</w:t>
      </w:r>
    </w:p>
    <w:p>
      <w:pPr>
        <w:snapToGrid w:val="0"/>
        <w:spacing w:before="156" w:beforeLines="50" w:line="460" w:lineRule="exact"/>
        <w:ind w:firstLine="550"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（四）投标文件的编制和签署</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1、投标人应按本招标文件规定的格式和顺序编制、装订投标文件并标注页码，投标文件内容不完整、编排混乱导致投标文件被误读、漏读或者查找不到相关内容的，由此引发的后果由投标人承担。 </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2、投标文件须由投标人在规定位置盖章并由法定代表人或法定代表人/负责人的授权委托人签署，投标人应写全称。投标人的投标文件未按照招标文件要求签署、盖章的，其投标无效。</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3、为确保网上操作合法、有效和安全，投标人应当在投标截止时间前完成在“政采云”平台的身份认证，确保在电子投标过程中能够对相关数据电文进行加密和使用电子签名。</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4、投标文件不得涂改，若有修改错漏处，须加盖</w:t>
      </w:r>
      <w:r>
        <w:rPr>
          <w:rFonts w:ascii="仿宋" w:hAnsi="仿宋" w:eastAsia="仿宋"/>
          <w:color w:val="000000" w:themeColor="text1"/>
          <w:sz w:val="28"/>
          <w:szCs w:val="28"/>
          <w:lang w:val="en"/>
          <w14:textFill>
            <w14:solidFill>
              <w14:schemeClr w14:val="tx1"/>
            </w14:solidFill>
          </w14:textFill>
        </w:rPr>
        <w:t>投标人</w:t>
      </w:r>
      <w:r>
        <w:rPr>
          <w:rFonts w:hint="eastAsia" w:ascii="仿宋" w:hAnsi="仿宋" w:eastAsia="仿宋"/>
          <w:color w:val="000000" w:themeColor="text1"/>
          <w:sz w:val="28"/>
          <w:szCs w:val="28"/>
          <w14:textFill>
            <w14:solidFill>
              <w14:schemeClr w14:val="tx1"/>
            </w14:solidFill>
          </w14:textFill>
        </w:rPr>
        <w:t>公章或者法定代表人或授权委托人签名或盖章。投标文件因字迹潦草或表达不清所引起的后果由投标人负责。</w:t>
      </w:r>
    </w:p>
    <w:p>
      <w:pPr>
        <w:snapToGrid w:val="0"/>
        <w:spacing w:before="156" w:beforeLines="50" w:line="460" w:lineRule="exact"/>
        <w:ind w:firstLine="550"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（五）投标报价</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1、投标文件只允许有一个报价，投标报价应按招标文件中相关附表格式填报，该投标报价应与明细报价汇总相等。</w:t>
      </w:r>
    </w:p>
    <w:p>
      <w:pPr>
        <w:pStyle w:val="16"/>
        <w:snapToGrid w:val="0"/>
        <w:spacing w:before="156" w:after="156"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2、投标报价</w:t>
      </w:r>
      <w:r>
        <w:rPr>
          <w:rFonts w:hint="eastAsia" w:ascii="仿宋" w:hAnsi="仿宋" w:eastAsia="仿宋"/>
          <w:b/>
          <w:color w:val="000000" w:themeColor="text1"/>
          <w:sz w:val="28"/>
          <w:szCs w:val="28"/>
          <w14:textFill>
            <w14:solidFill>
              <w14:schemeClr w14:val="tx1"/>
            </w14:solidFill>
          </w14:textFill>
        </w:rPr>
        <w:t>应包含项目所需全部产品、服务，不得缺漏</w:t>
      </w:r>
      <w:r>
        <w:rPr>
          <w:rFonts w:hint="eastAsia" w:ascii="仿宋" w:hAnsi="仿宋" w:eastAsia="仿宋"/>
          <w:color w:val="000000" w:themeColor="text1"/>
          <w:sz w:val="28"/>
          <w:szCs w:val="28"/>
          <w14:textFill>
            <w14:solidFill>
              <w14:schemeClr w14:val="tx1"/>
            </w14:solidFill>
          </w14:textFill>
        </w:rPr>
        <w:t>，是履行合同的最终价格（含货款、标准附件、备品备件、专用工具、包装、运输、装卸、保险、税金、货到就位以及安装、调试、培训、保修等一切税金和费用）。</w:t>
      </w:r>
    </w:p>
    <w:p>
      <w:pPr>
        <w:pStyle w:val="16"/>
        <w:snapToGrid w:val="0"/>
        <w:spacing w:before="156" w:after="156"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3、投标报价总价金额到元为止，如投标报价总价出现角、分，将被抹除。</w:t>
      </w:r>
    </w:p>
    <w:p>
      <w:pPr>
        <w:tabs>
          <w:tab w:val="left" w:pos="525"/>
        </w:tabs>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、投标人有下列情形之一的，投标保证金将不予退还：</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（1）投标人在投标截止时间后撤回投标文件的；</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（2）投标人在投标过程中弄虚作假，提供虚假材料的；</w:t>
      </w:r>
    </w:p>
    <w:p>
      <w:pPr>
        <w:snapToGrid w:val="0"/>
        <w:spacing w:line="460" w:lineRule="exact"/>
        <w:ind w:firstLine="548" w:firstLineChars="196"/>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（3）中标人无正当理由不与采购人签订合同的；</w:t>
      </w:r>
    </w:p>
    <w:p>
      <w:pPr>
        <w:snapToGrid w:val="0"/>
        <w:spacing w:line="460" w:lineRule="exact"/>
        <w:ind w:firstLine="548" w:firstLineChars="196"/>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将中标项目转让给他人或者在投标文件中未说明且未经招标采购单位同意，将中标项目分包给他人的；</w:t>
      </w:r>
    </w:p>
    <w:p>
      <w:pPr>
        <w:snapToGrid w:val="0"/>
        <w:spacing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（5）其他严重扰乱招投标程序的；</w:t>
      </w:r>
    </w:p>
    <w:p>
      <w:pPr>
        <w:snapToGrid w:val="0"/>
        <w:spacing w:before="156" w:beforeLines="50" w:line="460" w:lineRule="exact"/>
        <w:ind w:left="569" w:leftChars="271" w:firstLine="16" w:firstLineChars="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（六）投标保证金</w:t>
      </w:r>
    </w:p>
    <w:p>
      <w:pPr>
        <w:tabs>
          <w:tab w:val="left" w:pos="525"/>
        </w:tabs>
        <w:snapToGrid w:val="0"/>
        <w:spacing w:line="460" w:lineRule="exact"/>
        <w:ind w:firstLine="562" w:firstLineChars="2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1、投标人需按招标文件要求的金额、时间向招标方递交投标保证金。</w:t>
      </w:r>
    </w:p>
    <w:p>
      <w:pPr>
        <w:tabs>
          <w:tab w:val="left" w:pos="525"/>
        </w:tabs>
        <w:snapToGrid w:val="0"/>
        <w:spacing w:line="460" w:lineRule="exact"/>
        <w:ind w:firstLine="562" w:firstLineChars="200"/>
        <w:jc w:val="left"/>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w:t>
      </w:r>
      <w:r>
        <w:rPr>
          <w:rFonts w:hint="eastAsia" w:ascii="仿宋" w:hAnsi="仿宋" w:eastAsia="仿宋"/>
          <w:b/>
          <w:bCs/>
          <w:color w:val="000000" w:themeColor="text1"/>
          <w:sz w:val="28"/>
          <w:szCs w:val="28"/>
          <w14:textFill>
            <w14:solidFill>
              <w14:schemeClr w14:val="tx1"/>
            </w14:solidFill>
          </w14:textFill>
        </w:rPr>
        <w:t>投标保证金金额（人民币）：</w:t>
      </w:r>
      <w:r>
        <w:rPr>
          <w:rFonts w:hint="eastAsia" w:ascii="仿宋" w:hAnsi="仿宋" w:eastAsia="仿宋"/>
          <w:color w:val="000000" w:themeColor="text1"/>
          <w:sz w:val="28"/>
          <w:szCs w:val="28"/>
          <w:u w:val="single"/>
          <w14:textFill>
            <w14:solidFill>
              <w14:schemeClr w14:val="tx1"/>
            </w14:solidFill>
          </w14:textFill>
        </w:rPr>
        <w:t>详见本招标文件第一章“公开招标采购公告”部分。</w:t>
      </w:r>
      <w:r>
        <w:rPr>
          <w:rFonts w:hint="eastAsia" w:ascii="仿宋" w:hAnsi="仿宋" w:eastAsia="仿宋"/>
          <w:b/>
          <w:color w:val="000000" w:themeColor="text1"/>
          <w:sz w:val="28"/>
          <w:szCs w:val="28"/>
          <w14:textFill>
            <w14:solidFill>
              <w14:schemeClr w14:val="tx1"/>
            </w14:solidFill>
          </w14:textFill>
        </w:rPr>
        <w:t xml:space="preserve">   </w:t>
      </w:r>
    </w:p>
    <w:p>
      <w:pPr>
        <w:tabs>
          <w:tab w:val="left" w:pos="525"/>
        </w:tabs>
        <w:snapToGrid w:val="0"/>
        <w:spacing w:line="460" w:lineRule="exact"/>
        <w:ind w:firstLine="562" w:firstLineChars="200"/>
        <w:jc w:val="left"/>
        <w:rPr>
          <w:rFonts w:ascii="仿宋" w:hAnsi="仿宋" w:eastAsia="仿宋"/>
          <w:b/>
          <w:bCs/>
          <w:color w:val="000000" w:themeColor="text1"/>
          <w:sz w:val="28"/>
          <w:szCs w:val="28"/>
          <w:u w:val="single"/>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 投标保证金可采用支票、银行汇票、银行保函或汇款的方式，</w:t>
      </w:r>
      <w:r>
        <w:rPr>
          <w:rFonts w:hint="eastAsia" w:ascii="仿宋" w:hAnsi="仿宋" w:eastAsia="仿宋"/>
          <w:b/>
          <w:bCs/>
          <w:color w:val="000000" w:themeColor="text1"/>
          <w:sz w:val="28"/>
          <w:szCs w:val="28"/>
          <w:u w:val="single"/>
          <w14:textFill>
            <w14:solidFill>
              <w14:schemeClr w14:val="tx1"/>
            </w14:solidFill>
          </w14:textFill>
        </w:rPr>
        <w:t>招标方不接受现金形式的投标保证金。</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收款单位：国家体育总局体育器材装备中心</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 户 行：工行北京体育馆路支行</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银行账号：0200008109089053553</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投标人的投标保证金为支票、银行汇票、银行保函形式的，</w:t>
      </w:r>
      <w:r>
        <w:rPr>
          <w:rFonts w:hint="eastAsia" w:ascii="仿宋" w:hAnsi="仿宋" w:eastAsia="仿宋"/>
          <w:b/>
          <w:bCs/>
          <w:color w:val="000000" w:themeColor="text1"/>
          <w:sz w:val="28"/>
          <w:szCs w:val="28"/>
          <w14:textFill>
            <w14:solidFill>
              <w14:schemeClr w14:val="tx1"/>
            </w14:solidFill>
          </w14:textFill>
        </w:rPr>
        <w:t>须在开标时间前交到招标方</w:t>
      </w:r>
      <w:r>
        <w:rPr>
          <w:rFonts w:hint="eastAsia" w:ascii="仿宋" w:hAnsi="仿宋" w:eastAsia="仿宋"/>
          <w:color w:val="000000" w:themeColor="text1"/>
          <w:sz w:val="28"/>
          <w:szCs w:val="28"/>
          <w14:textFill>
            <w14:solidFill>
              <w14:schemeClr w14:val="tx1"/>
            </w14:solidFill>
          </w14:textFill>
        </w:rPr>
        <w:t>；投标保证金为汇款形式的，须在开标前汇往上述指定帐户，并在递交投标文件时提供汇款单复印件。银行保函有效期需比投标有效期长28天。</w:t>
      </w:r>
    </w:p>
    <w:p>
      <w:pPr>
        <w:tabs>
          <w:tab w:val="left" w:pos="525"/>
        </w:tabs>
        <w:snapToGrid w:val="0"/>
        <w:spacing w:line="4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4、未按前述各款要求提交投标保证金的投标将视为无效投标。</w:t>
      </w:r>
    </w:p>
    <w:p>
      <w:pPr>
        <w:tabs>
          <w:tab w:val="left" w:pos="525"/>
        </w:tabs>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5、投标人递交投标文件时需提供投标人全称、开户行、银行帐号等银行信息</w:t>
      </w: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 xml:space="preserve"> 并加盖投标人公章，以便招标方退还投标保证金</w:t>
      </w:r>
      <w:r>
        <w:rPr>
          <w:rFonts w:hint="eastAsia" w:ascii="仿宋" w:hAnsi="仿宋" w:eastAsia="仿宋"/>
          <w:b/>
          <w:bCs/>
          <w:color w:val="000000" w:themeColor="text1"/>
          <w:sz w:val="28"/>
          <w:szCs w:val="28"/>
          <w14:textFill>
            <w14:solidFill>
              <w14:schemeClr w14:val="tx1"/>
            </w14:solidFill>
          </w14:textFill>
        </w:rPr>
        <w:t>。</w:t>
      </w:r>
    </w:p>
    <w:p>
      <w:pPr>
        <w:tabs>
          <w:tab w:val="left" w:pos="525"/>
        </w:tabs>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投标保证金的退还：未中标的投标人在中标公告发布7个工作日后应立即将招标方开出的投标保证金收据退回，招标方将在收到退回的收据后5个工作日内，按投标人递交投标保证金时提供的银行信息，用网上汇款等方式退还投标保证金；</w:t>
      </w:r>
    </w:p>
    <w:p>
      <w:pPr>
        <w:tabs>
          <w:tab w:val="left" w:pos="525"/>
        </w:tabs>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7、中标人签订采购合同后7个工作日内立即将招标方开出的投标保证金收据退回，招标方将在收到退回的收据后5个工作日内，按投标人递交投标保证金时提供的银行信息，用网上汇款等方式退还投标保证金。</w:t>
      </w:r>
    </w:p>
    <w:p>
      <w:pPr>
        <w:tabs>
          <w:tab w:val="left" w:pos="525"/>
        </w:tabs>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8、投标人有下列情形之一的，投标保证金将不予退还：</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（1）投标人在投标截止时间后撤回投标文件的；</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（2）投标人在投标过程中弄虚作假，提供虚假材料的；</w:t>
      </w:r>
    </w:p>
    <w:p>
      <w:pPr>
        <w:snapToGrid w:val="0"/>
        <w:spacing w:line="460" w:lineRule="exact"/>
        <w:ind w:firstLine="548" w:firstLineChars="196"/>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（3）中标人无正当理由不与采购人签订合同的；</w:t>
      </w:r>
    </w:p>
    <w:p>
      <w:pPr>
        <w:snapToGrid w:val="0"/>
        <w:spacing w:line="460" w:lineRule="exact"/>
        <w:ind w:firstLine="548" w:firstLineChars="196"/>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将中标项目转让给他人或者在投标文件中未说明且未经招标采购单位同意，将中标项目分包给他人的；</w:t>
      </w:r>
    </w:p>
    <w:p>
      <w:pPr>
        <w:snapToGrid w:val="0"/>
        <w:spacing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（5）其他严重扰乱招投标程序的；</w:t>
      </w:r>
    </w:p>
    <w:p>
      <w:pPr>
        <w:snapToGrid w:val="0"/>
        <w:spacing w:line="460" w:lineRule="exact"/>
        <w:ind w:firstLine="416" w:firstLineChars="148"/>
        <w:jc w:val="left"/>
        <w:outlineLvl w:val="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（七）串通投标认定</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6、不同投标人的投标保证金从同一单位或者个人的账户转出。</w:t>
      </w:r>
    </w:p>
    <w:p>
      <w:pPr>
        <w:snapToGrid w:val="0"/>
        <w:spacing w:line="460" w:lineRule="exact"/>
        <w:ind w:firstLine="416" w:firstLineChars="148"/>
        <w:jc w:val="left"/>
        <w:outlineLvl w:val="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（八）投标无效的情形</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、未按规定交纳投标保证金的；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2、投标人未能提供合格的资格文件、投标有效期不足的；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 投标人被列入失信被执行人、重大税收违法案件当事人名单、政府采购严重违法失信行为记录名单的；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4、投标文件未按招标文件要求签署、盖章的；</w:t>
      </w:r>
    </w:p>
    <w:p>
      <w:pPr>
        <w:snapToGrid w:val="0"/>
        <w:spacing w:line="460" w:lineRule="exact"/>
        <w:ind w:firstLine="560" w:firstLineChars="200"/>
        <w:rPr>
          <w:rFonts w:ascii="仿宋" w:hAnsi="仿宋" w:eastAsia="仿宋"/>
          <w:strike/>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5、与招标文件有重大偏离、未满足带“▲”号实质性指标的投标文件；</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6、招标需求中要求提供的产品属于节能清单中政府强制采购节能产品品目的，投标人未提供该清单内产品的；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napToGrid w:val="0"/>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、资质文件、技术及商务文件中出现投标价格信息的、投标报价超出招标文件中规定的预算金额或者最高限价的；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napToGrid w:val="0"/>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标项以赠送方式投标的、对一个标项提供两个投标</w:t>
      </w:r>
      <w:r>
        <w:rPr>
          <w:rFonts w:hint="eastAsia" w:ascii="仿宋" w:hAnsi="仿宋" w:eastAsia="仿宋"/>
          <w:color w:val="000000" w:themeColor="text1"/>
          <w:sz w:val="28"/>
          <w:szCs w:val="28"/>
          <w:lang w:val="en-US" w:eastAsia="zh-CN"/>
          <w14:textFill>
            <w14:solidFill>
              <w14:schemeClr w14:val="tx1"/>
            </w14:solidFill>
          </w14:textFill>
        </w:rPr>
        <w:t>方</w:t>
      </w:r>
      <w:r>
        <w:rPr>
          <w:rFonts w:hint="eastAsia" w:ascii="仿宋" w:hAnsi="仿宋" w:eastAsia="仿宋"/>
          <w:color w:val="000000" w:themeColor="text1"/>
          <w:sz w:val="28"/>
          <w:szCs w:val="28"/>
          <w14:textFill>
            <w14:solidFill>
              <w14:schemeClr w14:val="tx1"/>
            </w14:solidFill>
          </w14:textFill>
        </w:rPr>
        <w:t>案或两个报价的；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9、评标委员会认为投标人的报价明显低于其他通过符合性审查投标人的报价，有可能影响产品质量或者不能诚信履约，且不能证明其报价合理性的；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10、投标人不接受报价文件中修正后的报价的；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11、未按本章“二、投标文件的编制”第五点投标报价要求报价的；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12、投标文件含有采购人不能接受的附加条件的；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13、投标人被视为串通投标的；</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14、不符合法律、法规和本招标文件规定的其他实质性要求的。</w:t>
      </w:r>
    </w:p>
    <w:p>
      <w:pPr>
        <w:pStyle w:val="16"/>
        <w:snapToGrid w:val="0"/>
        <w:spacing w:before="156" w:after="156" w:line="460" w:lineRule="exact"/>
        <w:ind w:left="760" w:leftChars="228" w:hanging="281" w:hangingChars="1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（九）错误修正</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投标文件报价出现前后不一致的，除招标文件另有规定外，按照下列规定修正：</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（一）投标文件中报价明细表内容与投标文件中相应内容不一致的，以报价明细表为准；</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（二）大写金额和小写金额不一致的，以大写金额为准；</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（三）单价金额小数点或者百分比有明显错位的，以报价明细表的总价为准，并修改单价；</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（四）总价金额与按单价汇总金额不一致的，以单价金额计算结果为准。</w:t>
      </w:r>
    </w:p>
    <w:p>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同时出现两种以上不一致的，按照前款规定的顺序修正。修正后的报价经投标人加盖公章，或者由法定代表人或其授权的代表签字确认后产生约束力，投标人不确认的，其投标无效。</w:t>
      </w:r>
    </w:p>
    <w:p>
      <w:pPr>
        <w:pStyle w:val="16"/>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三、组织开、评标程序及评标委员会的评审程序</w:t>
      </w:r>
    </w:p>
    <w:p>
      <w:pPr>
        <w:pStyle w:val="16"/>
        <w:snapToGrid w:val="0"/>
        <w:spacing w:before="156" w:after="156" w:line="460" w:lineRule="exact"/>
        <w:ind w:firstLine="550"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（一）组织开标程序</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1、开标形式：</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（1）采购代理机构将按照招标文件规定的时间通过“政采云”平台组织线上开标活动、开启投标文件，所有</w:t>
      </w:r>
      <w:r>
        <w:rPr>
          <w:rFonts w:ascii="仿宋" w:hAnsi="仿宋" w:eastAsia="仿宋"/>
          <w:bCs/>
          <w:color w:val="000000" w:themeColor="text1"/>
          <w:sz w:val="28"/>
          <w:szCs w:val="28"/>
          <w:lang w:val="en"/>
          <w14:textFill>
            <w14:solidFill>
              <w14:schemeClr w14:val="tx1"/>
            </w14:solidFill>
          </w14:textFill>
        </w:rPr>
        <w:t>投标人</w:t>
      </w:r>
      <w:r>
        <w:rPr>
          <w:rFonts w:hint="eastAsia" w:ascii="仿宋" w:hAnsi="仿宋" w:eastAsia="仿宋"/>
          <w:bCs/>
          <w:color w:val="000000" w:themeColor="text1"/>
          <w:sz w:val="28"/>
          <w:szCs w:val="28"/>
          <w14:textFill>
            <w14:solidFill>
              <w14:schemeClr w14:val="tx1"/>
            </w14:solidFill>
          </w14:textFill>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2、开标程序：</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CA锁准时登录到“政采云”平台电子开标大厅签到并对电子投标文件解密。开标后5分钟投标人还未进行解密的，代理机构要通知投标人。通知后，投标文件仍未按时解密，或者投标人没预留联系方式或预留联系方式无效，导致代理机构无法联系到投标人进行解密的，均视为无效投标。</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（2）电子唱标。投标文件解密结束，各投标</w:t>
      </w:r>
      <w:r>
        <w:rPr>
          <w:rFonts w:ascii="仿宋" w:hAnsi="仿宋" w:eastAsia="仿宋"/>
          <w:bCs/>
          <w:color w:val="000000" w:themeColor="text1"/>
          <w:sz w:val="28"/>
          <w:szCs w:val="28"/>
          <w:lang w:val="en"/>
          <w14:textFill>
            <w14:solidFill>
              <w14:schemeClr w14:val="tx1"/>
            </w14:solidFill>
          </w14:textFill>
        </w:rPr>
        <w:t>投标人</w:t>
      </w:r>
      <w:r>
        <w:rPr>
          <w:rFonts w:hint="eastAsia" w:ascii="仿宋" w:hAnsi="仿宋" w:eastAsia="仿宋"/>
          <w:bCs/>
          <w:color w:val="000000" w:themeColor="text1"/>
          <w:sz w:val="28"/>
          <w:szCs w:val="28"/>
          <w14:textFill>
            <w14:solidFill>
              <w14:schemeClr w14:val="tx1"/>
            </w14:solidFill>
          </w14:textFill>
        </w:rPr>
        <w:t>报价均在“政采云”平台远程不见面开标大厅展示。</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（3）签署电子《政府采购活动现场确认声明书》。通过邮件形式在远程不见面开标大厅发送各投标人签署电子《政府采购活动现场确认声明书》。</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（4）开标过程由采购代理机构如实记录，并电子留痕，由参加电子开标的各投标人代表对电子开标记录在开标记录公布后15分钟内进行当场校核及勘误，并线上确认，未确认的视同认可开标结果。</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（6）开标结束。</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特别说明：如遇“政采云”平台电子化开标或评审程序调整的，按调整后执行。</w:t>
      </w:r>
    </w:p>
    <w:p>
      <w:pPr>
        <w:pStyle w:val="16"/>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1、按规定统一收缴、保存评标现场评审人员的通讯工具。</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2、介绍评审现场的人员情况，宣布评审工作纪律，告知评审人员应当回避情形；组织推选评标委员会组长。</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3、宣读提交投标文件的</w:t>
      </w:r>
      <w:r>
        <w:rPr>
          <w:rFonts w:ascii="仿宋" w:hAnsi="仿宋" w:eastAsia="仿宋"/>
          <w:bCs/>
          <w:color w:val="000000" w:themeColor="text1"/>
          <w:sz w:val="28"/>
          <w:szCs w:val="28"/>
          <w:lang w:val="en"/>
          <w14:textFill>
            <w14:solidFill>
              <w14:schemeClr w14:val="tx1"/>
            </w14:solidFill>
          </w14:textFill>
        </w:rPr>
        <w:t>投标人</w:t>
      </w:r>
      <w:r>
        <w:rPr>
          <w:rFonts w:hint="eastAsia" w:ascii="仿宋" w:hAnsi="仿宋" w:eastAsia="仿宋"/>
          <w:bCs/>
          <w:color w:val="000000" w:themeColor="text1"/>
          <w:sz w:val="28"/>
          <w:szCs w:val="28"/>
          <w14:textFill>
            <w14:solidFill>
              <w14:schemeClr w14:val="tx1"/>
            </w14:solidFill>
          </w14:textFill>
        </w:rPr>
        <w:t>名单，组织评标委员会各位成员签订《政府采购评审人员廉洁自律承诺书》。</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4、采购人可以在评标前说明项目背景和采购需求，说明内容不得含有歧视性、倾向性意见，不得超出招标文件所述范围。说明应当提交书面材料，并随采购文件一并存档。</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采购人、招标方将依法对投标人资格文件进行审查并以开标当日为准对投标人“信用中国”网站（www.creditchina.gov.cn）、中国政府采购网（www.ccgp.gov.cn）信用记录情况进行核实，资格不符合的，应视为未通过资格初审。</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评标委员会组长组织评审人员独立评审。招标方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8、做好评审现场相关记录，协助评标委员会组长做好评审报告起草、有关内容电脑文字录入等工作，并要求评标委员会各成员签字确认。</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9、评审结束后，招标方应对评标委员会各成员的专业水平、职业道德、遵纪守法等情况进行评价；同时按规定向评审专家发放评审费，并交还评审人员的通讯工具。</w:t>
      </w:r>
    </w:p>
    <w:p>
      <w:pPr>
        <w:pStyle w:val="16"/>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1、在评审专家中推选评标委员会组长。</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3、评审人员对各投标人投标文件的有效性、符合性、完整性和响应程度进行审查，确定是否对招标文件作出实质性响应。</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4、评审人员按招标文件规定的评审方法和评审标准，依法独立对投标人投标文件进行评估、比较，并给予评价或打分，不受任何单位和个人的干预。</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5、评审人员对各</w:t>
      </w:r>
      <w:r>
        <w:rPr>
          <w:rFonts w:ascii="仿宋" w:hAnsi="仿宋" w:eastAsia="仿宋"/>
          <w:bCs/>
          <w:color w:val="000000" w:themeColor="text1"/>
          <w:sz w:val="28"/>
          <w:szCs w:val="28"/>
          <w:lang w:val="en"/>
          <w14:textFill>
            <w14:solidFill>
              <w14:schemeClr w14:val="tx1"/>
            </w14:solidFill>
          </w14:textFill>
        </w:rPr>
        <w:t>投标人</w:t>
      </w:r>
      <w:r>
        <w:rPr>
          <w:rFonts w:hint="eastAsia" w:ascii="仿宋" w:hAnsi="仿宋" w:eastAsia="仿宋"/>
          <w:bCs/>
          <w:color w:val="000000" w:themeColor="text1"/>
          <w:sz w:val="28"/>
          <w:szCs w:val="28"/>
          <w14:textFill>
            <w14:solidFill>
              <w14:schemeClr w14:val="tx1"/>
            </w14:solidFill>
          </w14:textFill>
        </w:rPr>
        <w:t>投标文件非实质性内容有疑议或异议，或者审查发现明显的文字或计算错误等，及时向评标委员会组长提出。经评标委员会商议认为需要</w:t>
      </w:r>
      <w:r>
        <w:rPr>
          <w:rFonts w:ascii="仿宋" w:hAnsi="仿宋" w:eastAsia="仿宋"/>
          <w:bCs/>
          <w:color w:val="000000" w:themeColor="text1"/>
          <w:sz w:val="28"/>
          <w:szCs w:val="28"/>
          <w:lang w:val="en"/>
          <w14:textFill>
            <w14:solidFill>
              <w14:schemeClr w14:val="tx1"/>
            </w14:solidFill>
          </w14:textFill>
        </w:rPr>
        <w:t>投标人</w:t>
      </w:r>
      <w:r>
        <w:rPr>
          <w:rFonts w:hint="eastAsia" w:ascii="仿宋" w:hAnsi="仿宋" w:eastAsia="仿宋"/>
          <w:bCs/>
          <w:color w:val="000000" w:themeColor="text1"/>
          <w:sz w:val="28"/>
          <w:szCs w:val="28"/>
          <w14:textFill>
            <w14:solidFill>
              <w14:schemeClr w14:val="tx1"/>
            </w14:solidFill>
          </w14:textFill>
        </w:rPr>
        <w:t>作出必要澄清或说明的，应通知该投标人以书面形式作出澄清或说明。授权代表未到场或拒绝澄清说明或澄清说明的内容改变了投标文件的实质性内容的，评标委员会有权对该投标文件作出不利于投标人的评判。书面通知及澄清说明文件应作为政府采购项目档案归档留存。</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7、评标委员会根据评审汇总情况和招标文件规定确定中标候选</w:t>
      </w:r>
      <w:r>
        <w:rPr>
          <w:rFonts w:ascii="仿宋" w:hAnsi="仿宋" w:eastAsia="仿宋"/>
          <w:bCs/>
          <w:color w:val="000000" w:themeColor="text1"/>
          <w:sz w:val="28"/>
          <w:szCs w:val="28"/>
          <w:lang w:val="en"/>
          <w14:textFill>
            <w14:solidFill>
              <w14:schemeClr w14:val="tx1"/>
            </w14:solidFill>
          </w14:textFill>
        </w:rPr>
        <w:t>投标人</w:t>
      </w:r>
      <w:r>
        <w:rPr>
          <w:rFonts w:hint="eastAsia" w:ascii="仿宋" w:hAnsi="仿宋" w:eastAsia="仿宋"/>
          <w:bCs/>
          <w:color w:val="000000" w:themeColor="text1"/>
          <w:sz w:val="28"/>
          <w:szCs w:val="28"/>
          <w14:textFill>
            <w14:solidFill>
              <w14:schemeClr w14:val="tx1"/>
            </w14:solidFill>
          </w14:textFill>
        </w:rPr>
        <w:t xml:space="preserve">排序名单。 </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8、起草评审报告，所有评审人员须在评审报告上签字确认。</w:t>
      </w:r>
    </w:p>
    <w:p>
      <w:pPr>
        <w:pStyle w:val="16"/>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四、评审原则</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2、评审专家因回避、临时缺席或健康原因等特殊情况不能继续参加评审工作的，应按规定更换评审专家</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被更换的评审人员之前所作出的评审意见不再予以采纳，由更换后的评审人员重新进行评审。无法及时更换专家的，要立即停止评审工作、封存评审资料，依法重新组建评标委员会进行评标。采购人或招标人应当将变更、重新组建评标委员会的情况予以记录，并随采购文件一并存档。</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招标方负责人记录在案后，可视为同意评审结果。</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pPr>
        <w:pStyle w:val="16"/>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w:t>
      </w:r>
      <w:r>
        <w:rPr>
          <w:rFonts w:ascii="仿宋" w:hAnsi="仿宋" w:eastAsia="仿宋"/>
          <w:b/>
          <w:color w:val="000000" w:themeColor="text1"/>
          <w:sz w:val="30"/>
          <w:szCs w:val="30"/>
          <w:lang w:val="en"/>
          <w14:textFill>
            <w14:solidFill>
              <w14:schemeClr w14:val="tx1"/>
            </w14:solidFill>
          </w14:textFill>
        </w:rPr>
        <w:t>投标人</w:t>
      </w:r>
      <w:r>
        <w:rPr>
          <w:rFonts w:hint="eastAsia" w:ascii="仿宋" w:hAnsi="仿宋" w:eastAsia="仿宋"/>
          <w:b/>
          <w:color w:val="000000" w:themeColor="text1"/>
          <w:sz w:val="30"/>
          <w:szCs w:val="30"/>
          <w14:textFill>
            <w14:solidFill>
              <w14:schemeClr w14:val="tx1"/>
            </w14:solidFill>
          </w14:textFill>
        </w:rPr>
        <w:t>的原则</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1、项目由评标委员会根据详细评审结果确定一至三人为中标候选人，并标明排列顺序。</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采购人应当自收到评标报告之日起５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3、采购结果经采购人确认后，招标方将于2个工作日内在中国政府采购网上发布中标公告，并向中标方签发书面《中标通知书》。</w:t>
      </w:r>
    </w:p>
    <w:p>
      <w:pPr>
        <w:pStyle w:val="16"/>
        <w:snapToGrid w:val="0"/>
        <w:spacing w:before="156" w:after="156" w:line="460" w:lineRule="exact"/>
        <w:ind w:firstLine="602" w:firstLineChars="200"/>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pPr>
        <w:snapToGrid w:val="0"/>
        <w:spacing w:line="460" w:lineRule="exact"/>
        <w:ind w:firstLine="550"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1、采购人与中标人应当在《中标通知书》发出之日起30日内签订政府采购合同。</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2、中标人拖延、拒签合同的</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将被扣罚投标保证金并取消中标资格。</w:t>
      </w:r>
      <w:bookmarkStart w:id="19" w:name="_Toc121226005"/>
    </w:p>
    <w:p>
      <w:pPr>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第三章</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评标办法及评分标准</w:t>
      </w:r>
      <w:bookmarkEnd w:id="19"/>
    </w:p>
    <w:p>
      <w:pPr>
        <w:pStyle w:val="18"/>
      </w:pP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根据《中华人民共和国政府采购法》等有关法律法规，结合本项目的实际需求，制定本办法。</w:t>
      </w:r>
    </w:p>
    <w:p>
      <w:pPr>
        <w:snapToGrid w:val="0"/>
        <w:spacing w:before="156" w:beforeLines="50" w:line="360" w:lineRule="auto"/>
        <w:ind w:firstLine="550" w:firstLineChars="196"/>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一、总则</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评分过程中采用四舍五入法，并保留小数2位。</w:t>
      </w:r>
    </w:p>
    <w:p>
      <w:pPr>
        <w:snapToGrid w:val="0"/>
        <w:spacing w:before="156" w:beforeLines="50" w:line="360" w:lineRule="auto"/>
        <w:ind w:firstLine="550" w:firstLineChars="196"/>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二、分值的计算</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技术、资信、商务及其他分按照评标委员会成员的独立评分结果汇总后的算术平均分计算，计算公式为：</w:t>
      </w:r>
    </w:p>
    <w:p>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技术、资信商务及其他分=评标委员会所有成员评分合计数/评标委员会组成人员数</w:t>
      </w:r>
    </w:p>
    <w:p>
      <w:pPr>
        <w:snapToGrid w:val="0"/>
        <w:spacing w:line="460" w:lineRule="exact"/>
        <w:ind w:firstLine="548" w:firstLineChars="196"/>
        <w:jc w:val="left"/>
      </w:pPr>
      <w:r>
        <w:rPr>
          <w:rFonts w:hint="eastAsia" w:ascii="仿宋" w:hAnsi="仿宋" w:eastAsia="仿宋"/>
          <w:bCs/>
          <w:color w:val="000000" w:themeColor="text1"/>
          <w:sz w:val="28"/>
          <w:szCs w:val="28"/>
          <w14:textFill>
            <w14:solidFill>
              <w14:schemeClr w14:val="tx1"/>
            </w14:solidFill>
          </w14:textFill>
        </w:rPr>
        <w:t>投标人评标综合得分=价格分+(技术分+资信商务及其他分)</w:t>
      </w:r>
    </w:p>
    <w:tbl>
      <w:tblPr>
        <w:tblStyle w:val="28"/>
        <w:tblW w:w="5000" w:type="pct"/>
        <w:tblInd w:w="0" w:type="dxa"/>
        <w:tblLayout w:type="fixed"/>
        <w:tblCellMar>
          <w:top w:w="0" w:type="dxa"/>
          <w:left w:w="108" w:type="dxa"/>
          <w:bottom w:w="0" w:type="dxa"/>
          <w:right w:w="108" w:type="dxa"/>
        </w:tblCellMar>
      </w:tblPr>
      <w:tblGrid>
        <w:gridCol w:w="1219"/>
        <w:gridCol w:w="736"/>
        <w:gridCol w:w="5701"/>
        <w:gridCol w:w="866"/>
        <w:tblGridChange w:id="0">
          <w:tblGrid>
            <w:gridCol w:w="1219"/>
            <w:gridCol w:w="736"/>
            <w:gridCol w:w="5701"/>
            <w:gridCol w:w="866"/>
          </w:tblGrid>
        </w:tblGridChange>
      </w:tblGrid>
      <w:tr>
        <w:tblPrEx>
          <w:tblCellMar>
            <w:top w:w="0" w:type="dxa"/>
            <w:left w:w="108" w:type="dxa"/>
            <w:bottom w:w="0" w:type="dxa"/>
            <w:right w:w="108" w:type="dxa"/>
          </w:tblCellMar>
        </w:tblPrEx>
        <w:trPr>
          <w:trHeight w:val="510" w:hRule="atLeast"/>
          <w:tblHeader/>
        </w:trPr>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评分类型</w:t>
            </w:r>
          </w:p>
        </w:tc>
        <w:tc>
          <w:tcPr>
            <w:tcW w:w="431" w:type="pct"/>
            <w:tcBorders>
              <w:top w:val="single" w:color="auto" w:sz="4" w:space="0"/>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序号</w:t>
            </w:r>
          </w:p>
        </w:tc>
        <w:tc>
          <w:tcPr>
            <w:tcW w:w="3344" w:type="pct"/>
            <w:tcBorders>
              <w:top w:val="single" w:color="auto" w:sz="4" w:space="0"/>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评分标准</w:t>
            </w:r>
          </w:p>
        </w:tc>
        <w:tc>
          <w:tcPr>
            <w:tcW w:w="508" w:type="pct"/>
            <w:tcBorders>
              <w:top w:val="single" w:color="auto" w:sz="4" w:space="0"/>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分值</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商务（同类型项目业绩）</w:t>
            </w:r>
          </w:p>
        </w:tc>
        <w:tc>
          <w:tcPr>
            <w:tcW w:w="431" w:type="pct"/>
            <w:tcBorders>
              <w:top w:val="nil"/>
              <w:left w:val="nil"/>
              <w:bottom w:val="single" w:color="auto" w:sz="4" w:space="0"/>
              <w:right w:val="single" w:color="auto" w:sz="4" w:space="0"/>
            </w:tcBorders>
            <w:shd w:val="clear" w:color="auto" w:fill="auto"/>
            <w:vAlign w:val="center"/>
          </w:tcPr>
          <w:p>
            <w:pPr>
              <w:tabs>
                <w:tab w:val="center" w:pos="182"/>
              </w:tabs>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eastAsia="zh-CN"/>
                <w14:textFill>
                  <w14:solidFill>
                    <w14:schemeClr w14:val="tx1"/>
                  </w14:solidFill>
                </w14:textFill>
              </w:rPr>
              <w:tab/>
            </w:r>
            <w:r>
              <w:rPr>
                <w:rFonts w:hint="eastAsia" w:ascii="仿宋" w:hAnsi="仿宋" w:eastAsia="仿宋"/>
                <w:bCs/>
                <w:color w:val="000000" w:themeColor="text1"/>
                <w:sz w:val="24"/>
                <w:szCs w:val="24"/>
                <w14:textFill>
                  <w14:solidFill>
                    <w14:schemeClr w14:val="tx1"/>
                  </w14:solidFill>
                </w14:textFill>
              </w:rPr>
              <w:t>1</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1、投标人提供2016年1月1日至今承担过国家级或国家级以上综合性运动会信息技术项目的案例，每提供一个案例得4分，满分20分。</w:t>
            </w:r>
            <w:r>
              <w:rPr>
                <w:rFonts w:hint="eastAsia" w:ascii="仿宋" w:hAnsi="仿宋" w:eastAsia="仿宋"/>
                <w:bCs/>
                <w:color w:val="000000" w:themeColor="text1"/>
                <w:sz w:val="24"/>
                <w:szCs w:val="24"/>
                <w:lang w:val="en"/>
                <w14:textFill>
                  <w14:solidFill>
                    <w14:schemeClr w14:val="tx1"/>
                  </w14:solidFill>
                </w14:textFill>
              </w:rPr>
              <w:br w:type="textWrapping"/>
            </w:r>
            <w:r>
              <w:rPr>
                <w:rFonts w:hint="eastAsia" w:ascii="仿宋" w:hAnsi="仿宋" w:eastAsia="仿宋"/>
                <w:bCs/>
                <w:color w:val="000000" w:themeColor="text1"/>
                <w:sz w:val="24"/>
                <w:szCs w:val="24"/>
                <w:lang w:val="en"/>
                <w14:textFill>
                  <w14:solidFill>
                    <w14:schemeClr w14:val="tx1"/>
                  </w14:solidFill>
                </w14:textFill>
              </w:rPr>
              <w:t>2、投标人提供2016年1月1日至今承担过体育类相关信息系统的案例，每提供一个案例得2分，满分6分。</w:t>
            </w:r>
            <w:r>
              <w:rPr>
                <w:rFonts w:hint="eastAsia" w:ascii="仿宋" w:hAnsi="仿宋" w:eastAsia="仿宋"/>
                <w:bCs/>
                <w:color w:val="000000" w:themeColor="text1"/>
                <w:sz w:val="24"/>
                <w:szCs w:val="24"/>
                <w:lang w:val="en"/>
                <w14:textFill>
                  <w14:solidFill>
                    <w14:schemeClr w14:val="tx1"/>
                  </w14:solidFill>
                </w14:textFill>
              </w:rPr>
              <w:br w:type="textWrapping"/>
            </w:r>
            <w:r>
              <w:rPr>
                <w:rFonts w:hint="eastAsia" w:ascii="仿宋" w:hAnsi="仿宋" w:eastAsia="仿宋"/>
                <w:bCs/>
                <w:color w:val="000000" w:themeColor="text1"/>
                <w:sz w:val="24"/>
                <w:szCs w:val="24"/>
                <w:lang w:val="en"/>
                <w14:textFill>
                  <w14:solidFill>
                    <w14:schemeClr w14:val="tx1"/>
                  </w14:solidFill>
                </w14:textFill>
              </w:rPr>
              <w:t>注：投标时须提供合同复印件加盖投标人单位公章（合同复印件应至少体现签订单位、服务事项、签订日期、签署页），以上案例不重复计分。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26</w:t>
            </w:r>
          </w:p>
        </w:tc>
      </w:tr>
      <w:tr>
        <w:tblPrEx>
          <w:tblCellMar>
            <w:top w:w="0" w:type="dxa"/>
            <w:left w:w="108" w:type="dxa"/>
            <w:bottom w:w="0" w:type="dxa"/>
            <w:right w:w="108" w:type="dxa"/>
          </w:tblCellMar>
        </w:tblPrEx>
        <w:trPr>
          <w:trHeight w:val="9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技术（项目负责人资质和业绩）</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2</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1、拟派项目负责人具有</w:t>
            </w:r>
            <w:r>
              <w:rPr>
                <w:rFonts w:hint="eastAsia" w:ascii="仿宋" w:hAnsi="仿宋" w:eastAsia="仿宋"/>
                <w:bCs/>
                <w:color w:val="000000" w:themeColor="text1"/>
                <w:sz w:val="24"/>
                <w:szCs w:val="24"/>
                <w:lang w:val="en"/>
                <w14:textFill>
                  <w14:solidFill>
                    <w14:schemeClr w14:val="tx1"/>
                  </w14:solidFill>
                </w14:textFill>
              </w:rPr>
              <w:t>高级职称、</w:t>
            </w:r>
            <w:r>
              <w:rPr>
                <w:rFonts w:hint="eastAsia" w:ascii="仿宋" w:hAnsi="仿宋" w:eastAsia="仿宋"/>
                <w:bCs/>
                <w:color w:val="000000" w:themeColor="text1"/>
                <w:sz w:val="24"/>
                <w:szCs w:val="24"/>
                <w14:textFill>
                  <w14:solidFill>
                    <w14:schemeClr w14:val="tx1"/>
                  </w14:solidFill>
                </w14:textFill>
              </w:rPr>
              <w:t>在体育信息技术领域10年及以上、具有5次及以上国家级或国家级以上综合性运动会信息技术工作经验得5分，否则不得分。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注：</w:t>
            </w:r>
            <w:r>
              <w:rPr>
                <w:rFonts w:hint="eastAsia" w:ascii="仿宋" w:hAnsi="仿宋" w:eastAsia="仿宋"/>
                <w:bCs/>
                <w:color w:val="000000" w:themeColor="text1"/>
                <w:sz w:val="24"/>
                <w:szCs w:val="24"/>
                <w:lang w:val="en"/>
                <w14:textFill>
                  <w14:solidFill>
                    <w14:schemeClr w14:val="tx1"/>
                  </w14:solidFill>
                </w14:textFill>
              </w:rPr>
              <w:t>1）须提供拟派</w:t>
            </w:r>
            <w:r>
              <w:rPr>
                <w:rFonts w:hint="eastAsia" w:ascii="仿宋" w:hAnsi="仿宋" w:eastAsia="仿宋"/>
                <w:bCs/>
                <w:color w:val="000000" w:themeColor="text1"/>
                <w:sz w:val="24"/>
                <w:szCs w:val="24"/>
                <w14:textFill>
                  <w14:solidFill>
                    <w14:schemeClr w14:val="tx1"/>
                  </w14:solidFill>
                </w14:textFill>
              </w:rPr>
              <w:t>项目负责人</w:t>
            </w:r>
            <w:r>
              <w:rPr>
                <w:rFonts w:hint="eastAsia" w:ascii="仿宋" w:hAnsi="仿宋" w:eastAsia="仿宋"/>
                <w:bCs/>
                <w:color w:val="000000" w:themeColor="text1"/>
                <w:sz w:val="24"/>
                <w:szCs w:val="24"/>
                <w:lang w:val="en"/>
                <w14:textFill>
                  <w14:solidFill>
                    <w14:schemeClr w14:val="tx1"/>
                  </w14:solidFill>
                </w14:textFill>
              </w:rPr>
              <w:t>的职称证明材料和工作经验证明。工作经验证明须体现拟派项目</w:t>
            </w:r>
            <w:r>
              <w:rPr>
                <w:rFonts w:hint="eastAsia" w:ascii="仿宋" w:hAnsi="仿宋" w:eastAsia="仿宋"/>
                <w:bCs/>
                <w:color w:val="000000" w:themeColor="text1"/>
                <w:sz w:val="24"/>
                <w:szCs w:val="24"/>
                <w14:textFill>
                  <w14:solidFill>
                    <w14:schemeClr w14:val="tx1"/>
                  </w14:solidFill>
                </w14:textFill>
              </w:rPr>
              <w:t>岗位、</w:t>
            </w:r>
            <w:r>
              <w:rPr>
                <w:rFonts w:hint="eastAsia" w:ascii="仿宋" w:hAnsi="仿宋" w:eastAsia="仿宋"/>
                <w:bCs/>
                <w:color w:val="000000" w:themeColor="text1"/>
                <w:sz w:val="24"/>
                <w:szCs w:val="24"/>
                <w:lang w:val="en"/>
                <w14:textFill>
                  <w14:solidFill>
                    <w14:schemeClr w14:val="tx1"/>
                  </w14:solidFill>
                </w14:textFill>
              </w:rPr>
              <w:t>姓名、体育信息技术领域的工作年限，并加盖公章；</w:t>
            </w:r>
            <w:r>
              <w:rPr>
                <w:rFonts w:hint="eastAsia" w:ascii="仿宋" w:hAnsi="仿宋" w:eastAsia="仿宋"/>
                <w:bCs/>
                <w:color w:val="000000" w:themeColor="text1"/>
                <w:sz w:val="24"/>
                <w:szCs w:val="24"/>
                <w:lang w:val="en"/>
                <w14:textFill>
                  <w14:solidFill>
                    <w14:schemeClr w14:val="tx1"/>
                  </w14:solidFill>
                </w14:textFill>
              </w:rPr>
              <w:br w:type="textWrapping"/>
            </w:r>
            <w:r>
              <w:rPr>
                <w:rFonts w:hint="eastAsia" w:ascii="仿宋" w:hAnsi="仿宋" w:eastAsia="仿宋"/>
                <w:bCs/>
                <w:color w:val="000000" w:themeColor="text1"/>
                <w:sz w:val="24"/>
                <w:szCs w:val="24"/>
                <w:lang w:val="en"/>
                <w14:textFill>
                  <w14:solidFill>
                    <w14:schemeClr w14:val="tx1"/>
                  </w14:solidFill>
                </w14:textFill>
              </w:rPr>
              <w:t>2）须提供拟派</w:t>
            </w:r>
            <w:r>
              <w:rPr>
                <w:rFonts w:hint="eastAsia" w:ascii="仿宋" w:hAnsi="仿宋" w:eastAsia="仿宋"/>
                <w:bCs/>
                <w:color w:val="000000" w:themeColor="text1"/>
                <w:sz w:val="24"/>
                <w:szCs w:val="24"/>
                <w14:textFill>
                  <w14:solidFill>
                    <w14:schemeClr w14:val="tx1"/>
                  </w14:solidFill>
                </w14:textFill>
              </w:rPr>
              <w:t>项目负责人</w:t>
            </w:r>
            <w:r>
              <w:rPr>
                <w:rFonts w:hint="eastAsia" w:ascii="仿宋" w:hAnsi="仿宋" w:eastAsia="仿宋"/>
                <w:bCs/>
                <w:color w:val="000000" w:themeColor="text1"/>
                <w:sz w:val="24"/>
                <w:szCs w:val="24"/>
                <w:lang w:val="en"/>
                <w14:textFill>
                  <w14:solidFill>
                    <w14:schemeClr w14:val="tx1"/>
                  </w14:solidFill>
                </w14:textFill>
              </w:rPr>
              <w:t>参与国家级或国家级以上综合性运动会信息技术工作证明材料（如项目合同或采购单位（主管部门）颁发的服务经验证明材料或赛事工作证明材料复印件，须体现拟派团队人员姓名）并加盖公章；</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3）须提供项目负责人身份证复印件及投标人为其缴纳的近1年内任意一个月的社保证明复印件（近一个月新成立的企业须提供说明）并加盖公章。</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ind w:firstLine="240" w:firstLineChars="100"/>
              <w:jc w:val="both"/>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5</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技术（项目团队成员）</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3</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1、拟派团队核心人员具有高级职称、在体育信息技术行业领域10年及以上、具有3次及以上国家级或国家级以上综合性运动会信息技术工作经验，每提供一名得3分，满分6分。</w:t>
            </w:r>
            <w:r>
              <w:rPr>
                <w:rFonts w:hint="eastAsia" w:ascii="仿宋" w:hAnsi="仿宋" w:eastAsia="仿宋"/>
                <w:bCs/>
                <w:color w:val="000000" w:themeColor="text1"/>
                <w:sz w:val="24"/>
                <w:szCs w:val="24"/>
                <w:lang w:val="en"/>
                <w14:textFill>
                  <w14:solidFill>
                    <w14:schemeClr w14:val="tx1"/>
                  </w14:solidFill>
                </w14:textFill>
              </w:rPr>
              <w:br w:type="textWrapping"/>
            </w:r>
            <w:r>
              <w:rPr>
                <w:rFonts w:hint="eastAsia" w:ascii="仿宋" w:hAnsi="仿宋" w:eastAsia="仿宋"/>
                <w:bCs/>
                <w:color w:val="000000" w:themeColor="text1"/>
                <w:sz w:val="24"/>
                <w:szCs w:val="24"/>
                <w:lang w:val="en"/>
                <w14:textFill>
                  <w14:solidFill>
                    <w14:schemeClr w14:val="tx1"/>
                  </w14:solidFill>
                </w14:textFill>
              </w:rPr>
              <w:t>2、拟派团队主要人员在体育信息技术领域行业10年及以上、具有3次及以上国家级或国家级以上综合性运动会信息技术工作经验，每提供一名得2分，满分4分。</w:t>
            </w:r>
            <w:r>
              <w:rPr>
                <w:rFonts w:hint="eastAsia" w:ascii="仿宋" w:hAnsi="仿宋" w:eastAsia="仿宋"/>
                <w:bCs/>
                <w:color w:val="000000" w:themeColor="text1"/>
                <w:sz w:val="24"/>
                <w:szCs w:val="24"/>
                <w:lang w:val="en"/>
                <w14:textFill>
                  <w14:solidFill>
                    <w14:schemeClr w14:val="tx1"/>
                  </w14:solidFill>
                </w14:textFill>
              </w:rPr>
              <w:br w:type="textWrapping"/>
            </w:r>
            <w:r>
              <w:rPr>
                <w:rFonts w:hint="eastAsia" w:ascii="仿宋" w:hAnsi="仿宋" w:eastAsia="仿宋"/>
                <w:bCs/>
                <w:color w:val="000000" w:themeColor="text1"/>
                <w:sz w:val="24"/>
                <w:szCs w:val="24"/>
                <w:lang w:val="en"/>
                <w14:textFill>
                  <w14:solidFill>
                    <w14:schemeClr w14:val="tx1"/>
                  </w14:solidFill>
                </w14:textFill>
              </w:rPr>
              <w:t>3、拟派团队其他人员在体育信息技术行业体育信息技术领域5年及以上、具有2次及以上国家级或国家级以上综合性运动会信息技术工作经验，每提供一名得1分，满分3分。</w:t>
            </w:r>
            <w:r>
              <w:rPr>
                <w:rFonts w:hint="eastAsia" w:ascii="仿宋" w:hAnsi="仿宋" w:eastAsia="仿宋"/>
                <w:bCs/>
                <w:color w:val="000000" w:themeColor="text1"/>
                <w:sz w:val="24"/>
                <w:szCs w:val="24"/>
                <w:lang w:val="en"/>
                <w14:textFill>
                  <w14:solidFill>
                    <w14:schemeClr w14:val="tx1"/>
                  </w14:solidFill>
                </w14:textFill>
              </w:rPr>
              <w:br w:type="textWrapping"/>
            </w:r>
            <w:r>
              <w:rPr>
                <w:rFonts w:hint="eastAsia" w:ascii="仿宋" w:hAnsi="仿宋" w:eastAsia="仿宋"/>
                <w:bCs/>
                <w:color w:val="000000" w:themeColor="text1"/>
                <w:sz w:val="24"/>
                <w:szCs w:val="24"/>
                <w:lang w:val="en"/>
                <w14:textFill>
                  <w14:solidFill>
                    <w14:schemeClr w14:val="tx1"/>
                  </w14:solidFill>
                </w14:textFill>
              </w:rPr>
              <w:t>注：1）须提供投标人出具的拟派人员的职称证明材料（若需要）和工作经验证明。工作经验证明须体现拟派项目</w:t>
            </w:r>
            <w:r>
              <w:rPr>
                <w:rFonts w:hint="eastAsia" w:ascii="仿宋" w:hAnsi="仿宋" w:eastAsia="仿宋"/>
                <w:bCs/>
                <w:color w:val="000000" w:themeColor="text1"/>
                <w:sz w:val="24"/>
                <w:szCs w:val="24"/>
                <w14:textFill>
                  <w14:solidFill>
                    <w14:schemeClr w14:val="tx1"/>
                  </w14:solidFill>
                </w14:textFill>
              </w:rPr>
              <w:t>岗位、</w:t>
            </w:r>
            <w:r>
              <w:rPr>
                <w:rFonts w:hint="eastAsia" w:ascii="仿宋" w:hAnsi="仿宋" w:eastAsia="仿宋"/>
                <w:bCs/>
                <w:color w:val="000000" w:themeColor="text1"/>
                <w:sz w:val="24"/>
                <w:szCs w:val="24"/>
                <w:lang w:val="en"/>
                <w14:textFill>
                  <w14:solidFill>
                    <w14:schemeClr w14:val="tx1"/>
                  </w14:solidFill>
                </w14:textFill>
              </w:rPr>
              <w:t>姓名、体育信息技术领域的工作年限，并加盖公章；</w:t>
            </w:r>
            <w:r>
              <w:rPr>
                <w:rFonts w:hint="eastAsia" w:ascii="仿宋" w:hAnsi="仿宋" w:eastAsia="仿宋"/>
                <w:bCs/>
                <w:color w:val="000000" w:themeColor="text1"/>
                <w:sz w:val="24"/>
                <w:szCs w:val="24"/>
                <w:lang w:val="en"/>
                <w14:textFill>
                  <w14:solidFill>
                    <w14:schemeClr w14:val="tx1"/>
                  </w14:solidFill>
                </w14:textFill>
              </w:rPr>
              <w:br w:type="textWrapping"/>
            </w:r>
            <w:r>
              <w:rPr>
                <w:rFonts w:hint="eastAsia" w:ascii="仿宋" w:hAnsi="仿宋" w:eastAsia="仿宋"/>
                <w:bCs/>
                <w:color w:val="000000" w:themeColor="text1"/>
                <w:sz w:val="24"/>
                <w:szCs w:val="24"/>
                <w:lang w:val="en"/>
                <w14:textFill>
                  <w14:solidFill>
                    <w14:schemeClr w14:val="tx1"/>
                  </w14:solidFill>
                </w14:textFill>
              </w:rPr>
              <w:t>2）须提供拟派人员参与国家级或国家级以上综合性运动会信息技术工作证明材料（如项目合同或采购单位（主管部门）颁发的服务经验证明材料或赛事工作证明材料复印件，须体现拟派团队人员姓名）并加盖公章；</w:t>
            </w:r>
            <w:r>
              <w:rPr>
                <w:rFonts w:hint="eastAsia" w:ascii="仿宋" w:hAnsi="仿宋" w:eastAsia="仿宋"/>
                <w:bCs/>
                <w:color w:val="000000" w:themeColor="text1"/>
                <w:sz w:val="24"/>
                <w:szCs w:val="24"/>
                <w:lang w:val="en"/>
                <w14:textFill>
                  <w14:solidFill>
                    <w14:schemeClr w14:val="tx1"/>
                  </w14:solidFill>
                </w14:textFill>
              </w:rPr>
              <w:br w:type="textWrapping"/>
            </w:r>
            <w:r>
              <w:rPr>
                <w:rFonts w:hint="eastAsia" w:ascii="仿宋" w:hAnsi="仿宋" w:eastAsia="仿宋"/>
                <w:bCs/>
                <w:color w:val="000000" w:themeColor="text1"/>
                <w:sz w:val="24"/>
                <w:szCs w:val="24"/>
                <w:lang w:val="en"/>
                <w14:textFill>
                  <w14:solidFill>
                    <w14:schemeClr w14:val="tx1"/>
                  </w14:solidFill>
                </w14:textFill>
              </w:rPr>
              <w:t>3）须提供投标人为拟派人员缴纳的近1年内任意一个月的社保证明复印件（近一个月新成立的企业须提供说明）并加盖公章。</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13</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技术（“奔跑吧·少年”赛事活动填报系统服务方案）</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4</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评标委员会从投标人提供的“奔跑吧·少年”赛事活动填报系统服务方案进行评分：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方案内容完整、规范、合理、可行，得3分。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ind w:firstLine="240" w:firstLineChars="100"/>
              <w:jc w:val="both"/>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3</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技术（体育基础数据统计填报系统服务方案）</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5</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评标委员会从投标人提供的体育基础数据统计填报系统服务方案进行评分：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方案内容明显欠缺的得0.5分。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ind w:firstLine="240" w:firstLineChars="100"/>
              <w:jc w:val="both"/>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715" w:type="pct"/>
            <w:vMerge w:val="restar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技术（三大球运动会赛事信息系统服务方案）</w:t>
            </w:r>
          </w:p>
        </w:tc>
        <w:tc>
          <w:tcPr>
            <w:tcW w:w="431" w:type="pct"/>
            <w:vMerge w:val="restar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6</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评标委员会从投标人提供的赛事指挥系统服务方案进行评分：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方案内容完整、规范、合理、可行，得4分。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ind w:firstLine="240" w:firstLineChars="100"/>
              <w:jc w:val="both"/>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4</w:t>
            </w:r>
          </w:p>
        </w:tc>
      </w:tr>
      <w:tr>
        <w:tblPrEx>
          <w:tblCellMar>
            <w:top w:w="0" w:type="dxa"/>
            <w:left w:w="108" w:type="dxa"/>
            <w:bottom w:w="0" w:type="dxa"/>
            <w:right w:w="108" w:type="dxa"/>
          </w:tblCellMar>
        </w:tblPrEx>
        <w:trPr>
          <w:trHeight w:val="510" w:hRule="atLeast"/>
        </w:trPr>
        <w:tc>
          <w:tcPr>
            <w:tcW w:w="715"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431"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评标委员会从投标人提供的注册管理系统服务方案进行评分：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方案内容完整、规范、合理、可行，得4分。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ind w:firstLine="240" w:firstLineChars="100"/>
              <w:jc w:val="both"/>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4</w:t>
            </w:r>
          </w:p>
        </w:tc>
      </w:tr>
      <w:tr>
        <w:tblPrEx>
          <w:tblCellMar>
            <w:top w:w="0" w:type="dxa"/>
            <w:left w:w="108" w:type="dxa"/>
            <w:bottom w:w="0" w:type="dxa"/>
            <w:right w:w="108" w:type="dxa"/>
          </w:tblCellMar>
        </w:tblPrEx>
        <w:trPr>
          <w:trHeight w:val="510" w:hRule="atLeast"/>
        </w:trPr>
        <w:tc>
          <w:tcPr>
            <w:tcW w:w="715"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431"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评标委员会从投标人提供的竞赛报名系统服务方案进行评分：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方案内容完整、规范、合理、可行，得4分。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ind w:firstLine="240" w:firstLineChars="100"/>
              <w:jc w:val="both"/>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4</w:t>
            </w:r>
          </w:p>
        </w:tc>
      </w:tr>
      <w:tr>
        <w:tblPrEx>
          <w:tblCellMar>
            <w:top w:w="0" w:type="dxa"/>
            <w:left w:w="108" w:type="dxa"/>
            <w:bottom w:w="0" w:type="dxa"/>
            <w:right w:w="108" w:type="dxa"/>
          </w:tblCellMar>
        </w:tblPrEx>
        <w:trPr>
          <w:trHeight w:val="510" w:hRule="atLeast"/>
        </w:trPr>
        <w:tc>
          <w:tcPr>
            <w:tcW w:w="715"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431"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评标委员会从投标人提供的中央成绩系统服务方案进行评分：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方案内容完整、规范、合理、可行，得4分。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ind w:firstLine="240" w:firstLineChars="100"/>
              <w:jc w:val="both"/>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4</w:t>
            </w:r>
          </w:p>
        </w:tc>
      </w:tr>
      <w:tr>
        <w:tblPrEx>
          <w:tblCellMar>
            <w:top w:w="0" w:type="dxa"/>
            <w:left w:w="108" w:type="dxa"/>
            <w:bottom w:w="0" w:type="dxa"/>
            <w:right w:w="108" w:type="dxa"/>
          </w:tblCellMar>
        </w:tblPrEx>
        <w:trPr>
          <w:trHeight w:val="510" w:hRule="atLeast"/>
        </w:trPr>
        <w:tc>
          <w:tcPr>
            <w:tcW w:w="715"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431"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评标委员会从投标人提供的成绩发布系统服务方案进行评分：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方案内容完整、规范、合理、可行，得4分。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4</w:t>
            </w:r>
          </w:p>
        </w:tc>
      </w:tr>
      <w:tr>
        <w:tblPrEx>
          <w:tblCellMar>
            <w:top w:w="0" w:type="dxa"/>
            <w:left w:w="108" w:type="dxa"/>
            <w:bottom w:w="0" w:type="dxa"/>
            <w:right w:w="108" w:type="dxa"/>
          </w:tblCellMar>
        </w:tblPrEx>
        <w:trPr>
          <w:trHeight w:val="510" w:hRule="atLeast"/>
        </w:trPr>
        <w:tc>
          <w:tcPr>
            <w:tcW w:w="715"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431" w:type="pct"/>
            <w:vMerge w:val="continue"/>
            <w:tcBorders>
              <w:top w:val="nil"/>
              <w:left w:val="single" w:color="auto" w:sz="4" w:space="0"/>
              <w:bottom w:val="single" w:color="auto" w:sz="4" w:space="0"/>
              <w:right w:val="single" w:color="auto" w:sz="4" w:space="0"/>
            </w:tcBorders>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评标委员会从投标人提供的PC端门户网站及后台管理系统服务方案进行评分：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方案内容完整、规范、合理、可行，得4分。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4</w:t>
            </w:r>
          </w:p>
        </w:tc>
      </w:tr>
      <w:tr>
        <w:tblPrEx>
          <w:tblCellMar>
            <w:top w:w="0" w:type="dxa"/>
            <w:left w:w="108" w:type="dxa"/>
            <w:bottom w:w="0" w:type="dxa"/>
            <w:right w:w="108" w:type="dxa"/>
          </w:tblCellMar>
          <w:tblPrExChange w:id="1" w:author="sport" w:date="2025-04-29T18:36:43Z">
            <w:tblPrEx>
              <w:tblCellMar>
                <w:top w:w="0" w:type="dxa"/>
                <w:left w:w="108" w:type="dxa"/>
                <w:bottom w:w="0" w:type="dxa"/>
                <w:right w:w="108" w:type="dxa"/>
              </w:tblCellMar>
            </w:tblPrEx>
          </w:tblPrExChange>
        </w:tblPrEx>
        <w:trPr>
          <w:trHeight w:val="2748" w:hRule="atLeast"/>
        </w:trPr>
        <w:tc>
          <w:tcPr>
            <w:tcW w:w="715" w:type="pct"/>
            <w:vMerge w:val="continue"/>
            <w:tcBorders>
              <w:top w:val="nil"/>
              <w:left w:val="single" w:color="auto" w:sz="4" w:space="0"/>
              <w:bottom w:val="single" w:color="auto" w:sz="4" w:space="0"/>
              <w:right w:val="single" w:color="auto" w:sz="4" w:space="0"/>
            </w:tcBorders>
            <w:vAlign w:val="center"/>
            <w:tcPrChange w:id="2" w:author="sport" w:date="2025-04-29T18:36:43Z">
              <w:tcPr>
                <w:tcW w:w="715" w:type="pct"/>
                <w:vMerge w:val="continue"/>
                <w:tcBorders>
                  <w:top w:val="nil"/>
                  <w:left w:val="single" w:color="auto" w:sz="4" w:space="0"/>
                  <w:bottom w:val="single" w:color="auto" w:sz="4" w:space="0"/>
                  <w:right w:val="single" w:color="auto" w:sz="4" w:space="0"/>
                </w:tcBorders>
                <w:vAlign w:val="center"/>
              </w:tcPr>
            </w:tcPrChange>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431" w:type="pct"/>
            <w:vMerge w:val="continue"/>
            <w:tcBorders>
              <w:top w:val="nil"/>
              <w:left w:val="single" w:color="auto" w:sz="4" w:space="0"/>
              <w:bottom w:val="single" w:color="auto" w:sz="4" w:space="0"/>
              <w:right w:val="single" w:color="auto" w:sz="4" w:space="0"/>
            </w:tcBorders>
            <w:vAlign w:val="center"/>
            <w:tcPrChange w:id="3" w:author="sport" w:date="2025-04-29T18:36:43Z">
              <w:tcPr>
                <w:tcW w:w="431" w:type="pct"/>
                <w:vMerge w:val="continue"/>
                <w:tcBorders>
                  <w:top w:val="nil"/>
                  <w:left w:val="single" w:color="auto" w:sz="4" w:space="0"/>
                  <w:bottom w:val="single" w:color="auto" w:sz="4" w:space="0"/>
                  <w:right w:val="single" w:color="auto" w:sz="4" w:space="0"/>
                </w:tcBorders>
                <w:vAlign w:val="center"/>
              </w:tcPr>
            </w:tcPrChange>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p>
        </w:tc>
        <w:tc>
          <w:tcPr>
            <w:tcW w:w="3344" w:type="pct"/>
            <w:tcBorders>
              <w:top w:val="nil"/>
              <w:left w:val="nil"/>
              <w:bottom w:val="single" w:color="auto" w:sz="4" w:space="0"/>
              <w:right w:val="single" w:color="auto" w:sz="4" w:space="0"/>
            </w:tcBorders>
            <w:shd w:val="clear" w:color="auto" w:fill="auto"/>
            <w:vAlign w:val="center"/>
            <w:tcPrChange w:id="4" w:author="sport" w:date="2025-04-29T18:36:43Z">
              <w:tcPr>
                <w:tcW w:w="3344" w:type="pct"/>
                <w:tcBorders>
                  <w:top w:val="nil"/>
                  <w:left w:val="nil"/>
                  <w:bottom w:val="single" w:color="auto" w:sz="4" w:space="0"/>
                  <w:right w:val="single" w:color="auto" w:sz="4" w:space="0"/>
                </w:tcBorders>
                <w:shd w:val="clear" w:color="auto" w:fill="auto"/>
                <w:vAlign w:val="center"/>
              </w:tcPr>
            </w:tcPrChange>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评标委员会从投标人提供的移动端信息发布系统服务方案进行评分：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方案内容完整、规范、合理、可行，得4分。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方案内容明显欠缺的得1分。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未提供方案的，得0分。</w:t>
            </w:r>
          </w:p>
        </w:tc>
        <w:tc>
          <w:tcPr>
            <w:tcW w:w="508" w:type="pct"/>
            <w:tcBorders>
              <w:top w:val="nil"/>
              <w:left w:val="nil"/>
              <w:bottom w:val="single" w:color="auto" w:sz="4" w:space="0"/>
              <w:right w:val="single" w:color="auto" w:sz="4" w:space="0"/>
            </w:tcBorders>
            <w:shd w:val="clear" w:color="auto" w:fill="auto"/>
            <w:vAlign w:val="center"/>
            <w:tcPrChange w:id="5" w:author="sport" w:date="2025-04-29T18:36:43Z">
              <w:tcPr>
                <w:tcW w:w="508" w:type="pct"/>
                <w:tcBorders>
                  <w:top w:val="nil"/>
                  <w:left w:val="nil"/>
                  <w:bottom w:val="single" w:color="auto" w:sz="4" w:space="0"/>
                  <w:right w:val="single" w:color="auto" w:sz="4" w:space="0"/>
                </w:tcBorders>
                <w:shd w:val="clear" w:color="auto" w:fill="auto"/>
                <w:vAlign w:val="center"/>
              </w:tcPr>
            </w:tcPrChange>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4</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技术（技术运行服务方案）</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7</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评标委员会从投标人提供的技术运行服务方案进行评分：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方案内容明显欠缺或未提供方案，得0分。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技术（等保测评与第三方测试服务方案）</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8</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评标委员会从投标人提供的等保测评与第三方测试服务方案进行评分：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方案内容明显欠缺或未提供方案，得0分。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技术（组织实施方案）</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ind w:firstLine="470" w:firstLineChars="196"/>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9</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评标委员会对投标人提供的组织实施方案进行评分：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方案内容完整、规范、合理、可行，得3分。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方案内容比较完整、规范、合理、可行，得1.5分。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方案内容明显欠缺或未提供方案，得0分。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3</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技术（应急预案）</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10</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评标委员会根据投标人所提供的应急预案进行评分：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方案内容完整、规范、合理、可行，得2分。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方案内容比较完整、规范、合理、可行，得1分。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方案内容明显欠缺或未提供方案，得0分。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技术（质量保证计划）</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11</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评标委员会从投标人提供的质量保证计划进行评分：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计划完整、规范，质量保证范围、质量保证措施合理、可行，得2分。</w:t>
            </w:r>
            <w:bookmarkStart w:id="44" w:name="_GoBack"/>
            <w:bookmarkEnd w:id="44"/>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计划比较完整、规范，质量保证范围、质量保证措施比较合理、可行，得1分。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计划明显欠缺或未提供计划，得0分。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技术（进度管理计划）</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12</w:t>
            </w:r>
          </w:p>
        </w:tc>
        <w:tc>
          <w:tcPr>
            <w:tcW w:w="3344"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评标委员会从投标人提供的进度计划进行评分：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计划与本项目整体时间安排一致，进度管理措施完备、合理，对风险与不确定因素考虑充分得2分。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计划与本项目整体时间安排比较一致，进度管理措施比较完备、合理，对风险与不确定因素考虑比较充分得1分。</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计划明显欠缺或未提供计划得0分。</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715" w:type="pct"/>
            <w:tcBorders>
              <w:top w:val="nil"/>
              <w:left w:val="single" w:color="auto" w:sz="4" w:space="0"/>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价格分</w:t>
            </w:r>
          </w:p>
        </w:tc>
        <w:tc>
          <w:tcPr>
            <w:tcW w:w="431" w:type="pct"/>
            <w:tcBorders>
              <w:top w:val="nil"/>
              <w:left w:val="nil"/>
              <w:bottom w:val="single" w:color="auto" w:sz="4" w:space="0"/>
              <w:right w:val="single" w:color="auto" w:sz="4" w:space="0"/>
            </w:tcBorders>
            <w:shd w:val="clear" w:color="auto" w:fill="auto"/>
            <w:vAlign w:val="center"/>
          </w:tcPr>
          <w:p>
            <w:pPr>
              <w:snapToGrid w:val="0"/>
              <w:spacing w:line="460" w:lineRule="exact"/>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13</w:t>
            </w:r>
          </w:p>
        </w:tc>
        <w:tc>
          <w:tcPr>
            <w:tcW w:w="3344" w:type="pct"/>
            <w:tcBorders>
              <w:top w:val="nil"/>
              <w:left w:val="nil"/>
              <w:bottom w:val="single" w:color="auto" w:sz="4" w:space="0"/>
              <w:right w:val="single" w:color="auto" w:sz="4" w:space="0"/>
            </w:tcBorders>
            <w:shd w:val="clear" w:color="auto" w:fill="auto"/>
            <w:vAlign w:val="bottom"/>
          </w:tcPr>
          <w:p>
            <w:pPr>
              <w:snapToGrid w:val="0"/>
              <w:spacing w:line="460" w:lineRule="exact"/>
              <w:ind w:firstLine="0" w:firstLineChars="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投标报价得分=(评标基准价／投标报价)×10</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计算分数时四舍五入取小数点后两位</w:t>
            </w:r>
            <w:r>
              <w:rPr>
                <w:rFonts w:hint="eastAsia" w:ascii="仿宋" w:hAnsi="仿宋" w:eastAsia="仿宋"/>
                <w:bCs/>
                <w:color w:val="000000" w:themeColor="text1"/>
                <w:sz w:val="24"/>
                <w:szCs w:val="24"/>
                <w14:textFill>
                  <w14:solidFill>
                    <w14:schemeClr w14:val="tx1"/>
                  </w14:solidFill>
                </w14:textFill>
              </w:rPr>
              <w:br w:type="textWrapping"/>
            </w:r>
            <w:r>
              <w:rPr>
                <w:rFonts w:hint="eastAsia" w:ascii="仿宋" w:hAnsi="仿宋" w:eastAsia="仿宋"/>
                <w:bCs/>
                <w:color w:val="000000" w:themeColor="text1"/>
                <w:sz w:val="24"/>
                <w:szCs w:val="24"/>
                <w14:textFill>
                  <w14:solidFill>
                    <w14:schemeClr w14:val="tx1"/>
                  </w14:solidFill>
                </w14:textFill>
              </w:rPr>
              <w:t>注：小微企业价格评审优惠政策见本招标文件有关要求。</w:t>
            </w:r>
          </w:p>
        </w:tc>
        <w:tc>
          <w:tcPr>
            <w:tcW w:w="508" w:type="pct"/>
            <w:tcBorders>
              <w:top w:val="nil"/>
              <w:left w:val="nil"/>
              <w:bottom w:val="single" w:color="auto" w:sz="4" w:space="0"/>
              <w:right w:val="single" w:color="auto" w:sz="4" w:space="0"/>
            </w:tcBorders>
            <w:shd w:val="clear" w:color="auto" w:fill="auto"/>
            <w:vAlign w:val="center"/>
          </w:tcPr>
          <w:p>
            <w:pPr>
              <w:snapToGrid w:val="0"/>
              <w:spacing w:line="46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10</w:t>
            </w:r>
          </w:p>
        </w:tc>
      </w:tr>
    </w:tbl>
    <w:p>
      <w:pPr>
        <w:pStyle w:val="18"/>
        <w:ind w:firstLine="0" w:firstLineChars="0"/>
        <w:rPr>
          <w:rFonts w:ascii="仿宋" w:hAnsi="仿宋" w:eastAsia="仿宋"/>
          <w:color w:val="000000" w:themeColor="text1"/>
          <w:sz w:val="28"/>
          <w:szCs w:val="28"/>
          <w:lang w:val="en"/>
          <w14:textFill>
            <w14:solidFill>
              <w14:schemeClr w14:val="tx1"/>
            </w14:solidFill>
          </w14:textFill>
        </w:rPr>
      </w:pPr>
    </w:p>
    <w:p>
      <w:pP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br w:type="page"/>
      </w:r>
    </w:p>
    <w:p>
      <w:pPr>
        <w:pStyle w:val="18"/>
        <w:ind w:firstLine="0" w:firstLineChars="0"/>
        <w:rPr>
          <w:rFonts w:ascii="仿宋" w:hAnsi="仿宋" w:eastAsia="仿宋"/>
          <w:color w:val="000000" w:themeColor="text1"/>
          <w:sz w:val="28"/>
          <w:szCs w:val="28"/>
          <w14:textFill>
            <w14:solidFill>
              <w14:schemeClr w14:val="tx1"/>
            </w14:solidFill>
          </w14:textFill>
        </w:rPr>
      </w:pPr>
    </w:p>
    <w:p>
      <w:pPr>
        <w:pStyle w:val="16"/>
        <w:numPr>
          <w:ilvl w:val="0"/>
          <w:numId w:val="5"/>
        </w:numPr>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Ansi="宋体"/>
          <w:b/>
          <w:color w:val="000000" w:themeColor="text1"/>
          <w:sz w:val="36"/>
          <w:szCs w:val="36"/>
          <w14:textFill>
            <w14:solidFill>
              <w14:schemeClr w14:val="tx1"/>
            </w14:solidFill>
          </w14:textFill>
        </w:rPr>
        <w:t xml:space="preserve"> </w:t>
      </w:r>
      <w:bookmarkStart w:id="20" w:name="_Toc1621986324"/>
      <w:bookmarkStart w:id="21" w:name="_Toc14261"/>
      <w:r>
        <w:rPr>
          <w:rFonts w:hint="eastAsia" w:hAnsi="宋体"/>
          <w:b/>
          <w:color w:val="000000" w:themeColor="text1"/>
          <w:sz w:val="36"/>
          <w:szCs w:val="36"/>
          <w14:textFill>
            <w14:solidFill>
              <w14:schemeClr w14:val="tx1"/>
            </w14:solidFill>
          </w14:textFill>
        </w:rPr>
        <w:t>招标需求</w:t>
      </w:r>
      <w:bookmarkEnd w:id="20"/>
      <w:bookmarkEnd w:id="21"/>
    </w:p>
    <w:p>
      <w:pPr>
        <w:keepNext/>
        <w:keepLines/>
        <w:spacing w:before="0" w:beforeLines="-2147483648" w:after="0" w:afterLines="-2147483648" w:line="600" w:lineRule="exact"/>
        <w:ind w:firstLine="562" w:firstLineChars="200"/>
        <w:outlineLvl w:val="1"/>
        <w:rPr>
          <w:rFonts w:ascii="仿宋" w:hAnsi="仿宋" w:eastAsia="仿宋" w:cs="CESI仿宋-GB2312"/>
          <w:b/>
          <w:bCs/>
          <w:sz w:val="28"/>
          <w:szCs w:val="28"/>
        </w:rPr>
      </w:pPr>
      <w:bookmarkStart w:id="22" w:name="_Toc18374"/>
      <w:bookmarkStart w:id="23" w:name="_Toc22201"/>
      <w:bookmarkStart w:id="24" w:name="_Toc22301"/>
      <w:r>
        <w:rPr>
          <w:rFonts w:hint="eastAsia" w:ascii="仿宋" w:hAnsi="仿宋" w:eastAsia="仿宋" w:cs="CESI仿宋-GB2312"/>
          <w:b/>
          <w:bCs/>
          <w:sz w:val="28"/>
          <w:szCs w:val="28"/>
        </w:rPr>
        <w:t>一、项目概况</w:t>
      </w:r>
    </w:p>
    <w:p>
      <w:pPr>
        <w:widowControl/>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全国青少年体育信息工作平台是按照《数字中国建设整体布局规划》和《国务院关于加强数字政府建设的指导意见》要求，为青少年体育业务的数字化建设与发展提供统一支撑的信息技术服务平台。现根据业务开展需要，拟对全国青少年体育信息工作平台进行升级改造，遵循“统一规划、统一建设、统一服务、统一管理”原则，基于全国青少年体育信息工作平台网络、算力、存储和安全资源进行扩展，2025年新增“奔跑吧·少年”赛事活动填报系统，</w:t>
      </w:r>
      <w:bookmarkStart w:id="25" w:name="_Hlk193463966"/>
      <w:r>
        <w:rPr>
          <w:rFonts w:hint="eastAsia" w:ascii="仿宋" w:hAnsi="仿宋" w:eastAsia="仿宋"/>
          <w:bCs/>
          <w:color w:val="000000" w:themeColor="text1"/>
          <w:sz w:val="28"/>
          <w:szCs w:val="28"/>
          <w14:textFill>
            <w14:solidFill>
              <w14:schemeClr w14:val="tx1"/>
            </w14:solidFill>
          </w14:textFill>
        </w:rPr>
        <w:t>新增赛事指挥系统（包括赛事管理信息展示、竞赛信息展示模块）、注册管理系统（包括基础数据及系统管理子系统、在线注册子系统、注册管理子系统、接口服务子系统）、PC端门户网站及后台管理系统（包括成绩信息展示、其他信息发布模块）、移动端信息发布系统（包括成绩信息展示、其他信息发布模块）等三大球赛事信息系统，扩展优化竞赛报名系统（包括权限控制子系统、报表统计子系统、数据接口）、中央成绩系统（包括消息收发综合处理平台、服务API接口）、成绩发布系统（包括赛程发布模块）等三大球赛事信息系统、体育基础数据统计填报系统及其他子系统，增加“奔跑吧·少年”赛事活动填报系统、体育基础数据统计填报系统</w:t>
      </w:r>
      <w:bookmarkStart w:id="26" w:name="OLE_LINK2"/>
      <w:bookmarkStart w:id="27" w:name="OLE_LINK1"/>
      <w:r>
        <w:rPr>
          <w:rFonts w:hint="eastAsia" w:ascii="仿宋" w:hAnsi="仿宋" w:eastAsia="仿宋"/>
          <w:bCs/>
          <w:color w:val="000000" w:themeColor="text1"/>
          <w:sz w:val="28"/>
          <w:szCs w:val="28"/>
          <w14:textFill>
            <w14:solidFill>
              <w14:schemeClr w14:val="tx1"/>
            </w14:solidFill>
          </w14:textFill>
        </w:rPr>
        <w:t>、U系</w:t>
      </w:r>
      <w:bookmarkEnd w:id="26"/>
      <w:bookmarkEnd w:id="27"/>
      <w:r>
        <w:rPr>
          <w:rFonts w:hint="eastAsia" w:ascii="仿宋" w:hAnsi="仿宋" w:eastAsia="仿宋"/>
          <w:bCs/>
          <w:color w:val="000000" w:themeColor="text1"/>
          <w:sz w:val="28"/>
          <w:szCs w:val="28"/>
          <w14:textFill>
            <w14:solidFill>
              <w14:schemeClr w14:val="tx1"/>
            </w14:solidFill>
          </w14:textFill>
        </w:rPr>
        <w:t>列赛事体系建设管理系统、校外培训机构管理系统等技术运行服务以及对接十五运三大球青年组赛事数据服务，增加配套的等保测评和第三方测试服务，为全国青少年体育业务发展提供信息技术支持。</w:t>
      </w:r>
    </w:p>
    <w:bookmarkEnd w:id="25"/>
    <w:p>
      <w:pPr>
        <w:keepNext/>
        <w:keepLines/>
        <w:spacing w:line="600" w:lineRule="exact"/>
        <w:ind w:firstLine="562" w:firstLineChars="200"/>
        <w:outlineLvl w:val="1"/>
        <w:rPr>
          <w:rFonts w:ascii="仿宋" w:hAnsi="仿宋" w:eastAsia="仿宋" w:cs="CESI仿宋-GB2312"/>
          <w:b/>
          <w:bCs/>
          <w:sz w:val="28"/>
          <w:szCs w:val="28"/>
        </w:rPr>
      </w:pPr>
      <w:r>
        <w:rPr>
          <w:rFonts w:hint="eastAsia" w:ascii="仿宋" w:hAnsi="仿宋" w:eastAsia="仿宋" w:cs="CESI仿宋-GB2312"/>
          <w:b/>
          <w:bCs/>
          <w:sz w:val="28"/>
          <w:szCs w:val="28"/>
        </w:rPr>
        <w:t>二、采购内容</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本节仅对采购内容提出应具备的功能和系统运行最基本的技术要求，并未规定全部的具体技术要求和适用的标准与规范。</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服务提供商应提供满足所列要求的高质量的系统及服务，并应采用先进、成熟、适用、安全，在任何环节均不得采用具有风险、未经严格检测、不成熟、过度冗余或具有安全隐患的信息技术和产品。</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服务提供商所提供的系统及其服务必须遵循国际、国内的行业规范，满足国家有关安全、环保等强制性标准，切合全国青少年体育信息工作平台升级改造项目的实际情况。</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全国青少年体育信息工作平台升级改造项目</w:t>
      </w:r>
      <w:r>
        <w:rPr>
          <w:rFonts w:hint="eastAsia" w:ascii="仿宋" w:hAnsi="仿宋" w:eastAsia="仿宋" w:cs="Times New Roman"/>
          <w:bCs/>
          <w:color w:val="000000" w:themeColor="text1"/>
          <w:sz w:val="28"/>
          <w:szCs w:val="28"/>
          <w:shd w:val="clear" w:color="auto" w:fill="auto"/>
          <w14:textFill>
            <w14:solidFill>
              <w14:schemeClr w14:val="tx1"/>
            </w14:solidFill>
          </w14:textFill>
        </w:rPr>
        <w:t>采购内容包括：</w:t>
      </w:r>
    </w:p>
    <w:p>
      <w:pPr>
        <w:keepNext/>
        <w:keepLines/>
        <w:spacing w:line="600" w:lineRule="exact"/>
        <w:ind w:left="420" w:firstLine="281" w:firstLineChars="100"/>
        <w:outlineLvl w:val="2"/>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（一）新建“奔跑吧·少年”赛事活动填报系统</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bookmarkStart w:id="28" w:name="_Hlk193463811"/>
      <w:r>
        <w:rPr>
          <w:rFonts w:hint="eastAsia" w:ascii="仿宋" w:hAnsi="仿宋" w:eastAsia="仿宋" w:cs="Times New Roman"/>
          <w:bCs/>
          <w:color w:val="000000" w:themeColor="text1"/>
          <w:sz w:val="28"/>
          <w:szCs w:val="28"/>
          <w:shd w:val="clear" w:color="auto" w:fill="auto"/>
          <w14:textFill>
            <w14:solidFill>
              <w14:schemeClr w14:val="tx1"/>
            </w14:solidFill>
          </w14:textFill>
        </w:rPr>
        <w:t>“奔跑吧·少年”赛事活动填报系统依托已建多级账号体系，为国家、省、市、县各级体育行政部门提供便捷的赛事活动数据填报、查询、导出，以及统计与展示等功能。通过规范业务流程，实现赛事活动的有效管理，确保数据准确性。</w:t>
      </w:r>
    </w:p>
    <w:bookmarkEnd w:id="28"/>
    <w:p>
      <w:pPr>
        <w:keepNext/>
        <w:keepLines/>
        <w:spacing w:line="600" w:lineRule="exact"/>
        <w:ind w:firstLine="562" w:firstLineChars="200"/>
        <w:outlineLvl w:val="2"/>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（二）体育基础数据统计填报系统扩展优化</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全国青少年体育基础数据统计填报系统面向国家、省、市、县（区）四级体育行政管理部门，对青少年体育基础数据进行填报统计。本期扩展优化体育基础数据统计填报系统数据采集项，包括完善体校基本数据、教职工情况、在训练运动员情况、开展运动项目情况，新增年度输送情况和大赛成绩情况，同时增加报送数据盖章、扫描上传功能。</w:t>
      </w:r>
    </w:p>
    <w:p>
      <w:pPr>
        <w:keepNext/>
        <w:keepLines/>
        <w:spacing w:line="600" w:lineRule="exact"/>
        <w:ind w:left="420" w:firstLine="281" w:firstLineChars="100"/>
        <w:outlineLvl w:val="2"/>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（三）三大球运动会赛事信息系统（二期）</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三大球运动会赛事信息系统是为了能够更好地为三大球（足球、篮球、排球）的办赛、参赛、观赛提供信息技术支撑服务，而建设的赛事信息系统。三大球运动会赛事信息系统包括赛事指挥、赛事管理、赛事成绩、竞赛视频、公共服务大数据平台的五大类信息系统，为参与三大球（足球、篮球、排球）运动会的不同群体提供所需的信息服务（服务群体包括组委会的相关业务领域、竞赛、转播和媒体、裁判员和裁判长、参与者和观众等）。</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三大球运动会赛事信息系统（二期）主要功能包括：</w:t>
      </w:r>
    </w:p>
    <w:p>
      <w:pPr>
        <w:keepNext/>
        <w:keepLines/>
        <w:numPr>
          <w:ilvl w:val="0"/>
          <w:numId w:val="6"/>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新增赛事指挥系统</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赛事指挥系统将围绕组委会在三大球运动会筹备、建设、运行期间的各个环节，利用信息化的手段，为各项业务的管理、赛时的应急指挥等提供高效、完善的应用服务。采用可靠、先进的技术手段，提供掌握赛时运行信息的手段、辅助决策的手段以及协调控制的手段等，以确保满足三大球运动会赛时运行指挥的确切需求。</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本期新增赛事指挥系统，实现赛事管理信息展示、竞赛信息展示两个功能模块。</w:t>
      </w:r>
    </w:p>
    <w:p>
      <w:pPr>
        <w:keepNext/>
        <w:keepLines/>
        <w:numPr>
          <w:ilvl w:val="0"/>
          <w:numId w:val="6"/>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新增注册管理系统</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注册管理系统是为参与赛事的各类人员提供注册服务的系统，系统多方获取赛事参与人员的信息，用于赛事所需要的流程与业务。系统根据注册时提供的信息，工作人员在整理、验证、核对参与者的信息后自动或手动分配给他们相应地进入场地的权限，允许其注册。</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本期新增注册管理系统，实现基础数据及系统管理子系统、在线注册子系统、注册管理子系统、接口服务子系统四个功能模块。</w:t>
      </w:r>
    </w:p>
    <w:p>
      <w:pPr>
        <w:keepNext/>
        <w:keepLines/>
        <w:numPr>
          <w:ilvl w:val="0"/>
          <w:numId w:val="6"/>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竞赛报名系统扩展优化</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竞赛报名系统对所有代表团成员的报名报项数据提供统一管理，通过竞赛报名系统实现竞赛报名信息采集的自动化、流程化、标准化，降低竞赛管理复杂程度，提高工作效率，使代表团报名工作更加有效、快捷。各代表团利用竞赛报名系统对运动员所参加比赛的具体小项进行报项，提交详细的运动员报项资料，服装登记等辅助信息及其它竞赛项目所需的相关信息。</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kern w:val="2"/>
          <w:sz w:val="28"/>
          <w:szCs w:val="28"/>
          <w14:textFill>
            <w14:solidFill>
              <w14:schemeClr w14:val="tx1"/>
            </w14:solidFill>
          </w14:textFill>
        </w:rPr>
        <w:t>本期扩展优化</w:t>
      </w:r>
      <w:r>
        <w:rPr>
          <w:rFonts w:hint="eastAsia" w:ascii="仿宋" w:hAnsi="仿宋" w:eastAsia="仿宋" w:cs="Times New Roman"/>
          <w:bCs/>
          <w:color w:val="000000" w:themeColor="text1"/>
          <w:sz w:val="28"/>
          <w:szCs w:val="28"/>
          <w:shd w:val="clear" w:color="auto" w:fill="auto"/>
          <w14:textFill>
            <w14:solidFill>
              <w14:schemeClr w14:val="tx1"/>
            </w14:solidFill>
          </w14:textFill>
        </w:rPr>
        <w:t>竞赛报名系统，实现权限控制子系统、报表统计子系统、数据接口三个功能模块。</w:t>
      </w:r>
    </w:p>
    <w:p>
      <w:pPr>
        <w:keepNext/>
        <w:keepLines/>
        <w:numPr>
          <w:ilvl w:val="0"/>
          <w:numId w:val="6"/>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中央成绩系统扩展优化</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中央成绩系统是赛事相关数据处理的中心。数据的主要来源包括场馆成绩系统（包括比分、成绩、排名和报告等）及竞赛报名系统（包括运动员报名报项信息等）。中央成绩系统主要任务是汇总所有竞赛项目相关的竞赛信息，经过综合赛事数据处理、数据存储后，向成绩发布系统转发全国青少年三大球运动会的竞赛信息，可以实现成绩数据的快速发布。</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kern w:val="2"/>
          <w:sz w:val="28"/>
          <w:szCs w:val="28"/>
          <w14:textFill>
            <w14:solidFill>
              <w14:schemeClr w14:val="tx1"/>
            </w14:solidFill>
          </w14:textFill>
        </w:rPr>
        <w:t>本期扩展优化</w:t>
      </w:r>
      <w:r>
        <w:rPr>
          <w:rFonts w:hint="eastAsia" w:ascii="仿宋" w:hAnsi="仿宋" w:eastAsia="仿宋" w:cs="Times New Roman"/>
          <w:bCs/>
          <w:color w:val="000000" w:themeColor="text1"/>
          <w:sz w:val="28"/>
          <w:szCs w:val="28"/>
          <w:shd w:val="clear" w:color="auto" w:fill="auto"/>
          <w14:textFill>
            <w14:solidFill>
              <w14:schemeClr w14:val="tx1"/>
            </w14:solidFill>
          </w14:textFill>
        </w:rPr>
        <w:t>中央成绩系统，实现消息收发综合处理平台、服务</w:t>
      </w:r>
      <w:r>
        <w:rPr>
          <w:rFonts w:ascii="仿宋" w:hAnsi="仿宋" w:eastAsia="仿宋" w:cs="Times New Roman"/>
          <w:bCs/>
          <w:color w:val="000000" w:themeColor="text1"/>
          <w:sz w:val="28"/>
          <w:szCs w:val="28"/>
          <w:shd w:val="clear" w:color="auto" w:fill="auto"/>
          <w14:textFill>
            <w14:solidFill>
              <w14:schemeClr w14:val="tx1"/>
            </w14:solidFill>
          </w14:textFill>
        </w:rPr>
        <w:t>API</w:t>
      </w:r>
      <w:r>
        <w:rPr>
          <w:rFonts w:hint="eastAsia" w:ascii="仿宋" w:hAnsi="仿宋" w:eastAsia="仿宋" w:cs="Times New Roman"/>
          <w:bCs/>
          <w:color w:val="000000" w:themeColor="text1"/>
          <w:sz w:val="28"/>
          <w:szCs w:val="28"/>
          <w:shd w:val="clear" w:color="auto" w:fill="auto"/>
          <w14:textFill>
            <w14:solidFill>
              <w14:schemeClr w14:val="tx1"/>
            </w14:solidFill>
          </w14:textFill>
        </w:rPr>
        <w:t>接口两个功能模块。</w:t>
      </w:r>
    </w:p>
    <w:p>
      <w:pPr>
        <w:keepNext/>
        <w:keepLines/>
        <w:numPr>
          <w:ilvl w:val="0"/>
          <w:numId w:val="6"/>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成绩发布系统扩展优化</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成绩发布系统是汇总赛事信息并通过网页形式向公众提供赛事信息的系统。成绩发布系统能够让赛事组织者及公众实时掌握赛事各个维度的信息，内容种类主要包括：赛程、赛果、排名、运动员信息等。</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kern w:val="2"/>
          <w:sz w:val="28"/>
          <w:szCs w:val="28"/>
          <w14:textFill>
            <w14:solidFill>
              <w14:schemeClr w14:val="tx1"/>
            </w14:solidFill>
          </w14:textFill>
        </w:rPr>
        <w:t>本期扩展优化</w:t>
      </w:r>
      <w:r>
        <w:rPr>
          <w:rFonts w:hint="eastAsia" w:ascii="仿宋" w:hAnsi="仿宋" w:eastAsia="仿宋" w:cs="Times New Roman"/>
          <w:bCs/>
          <w:color w:val="000000" w:themeColor="text1"/>
          <w:sz w:val="28"/>
          <w:szCs w:val="28"/>
          <w:shd w:val="clear" w:color="auto" w:fill="auto"/>
          <w14:textFill>
            <w14:solidFill>
              <w14:schemeClr w14:val="tx1"/>
            </w14:solidFill>
          </w14:textFill>
        </w:rPr>
        <w:t>成绩发布系统，实现赛程发布功能模块。</w:t>
      </w:r>
    </w:p>
    <w:p>
      <w:pPr>
        <w:keepNext/>
        <w:keepLines/>
        <w:numPr>
          <w:ilvl w:val="0"/>
          <w:numId w:val="6"/>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新增PC端门户网站及后台管理系统</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全国青少年三大球运动会</w:t>
      </w:r>
      <w:r>
        <w:rPr>
          <w:rFonts w:ascii="仿宋" w:hAnsi="仿宋" w:eastAsia="仿宋" w:cs="Times New Roman"/>
          <w:bCs/>
          <w:color w:val="000000" w:themeColor="text1"/>
          <w:sz w:val="28"/>
          <w:szCs w:val="28"/>
          <w:shd w:val="clear" w:color="auto" w:fill="auto"/>
          <w14:textFill>
            <w14:solidFill>
              <w14:schemeClr w14:val="tx1"/>
            </w14:solidFill>
          </w14:textFill>
        </w:rPr>
        <w:t>PC</w:t>
      </w:r>
      <w:r>
        <w:rPr>
          <w:rFonts w:hint="eastAsia" w:ascii="仿宋" w:hAnsi="仿宋" w:eastAsia="仿宋" w:cs="Times New Roman"/>
          <w:bCs/>
          <w:color w:val="000000" w:themeColor="text1"/>
          <w:sz w:val="28"/>
          <w:szCs w:val="28"/>
          <w:shd w:val="clear" w:color="auto" w:fill="auto"/>
          <w14:textFill>
            <w14:solidFill>
              <w14:schemeClr w14:val="tx1"/>
            </w14:solidFill>
          </w14:textFill>
        </w:rPr>
        <w:t>端门户网站作为面向公众开放的</w:t>
      </w:r>
      <w:r>
        <w:rPr>
          <w:rFonts w:ascii="仿宋" w:hAnsi="仿宋" w:eastAsia="仿宋" w:cs="Times New Roman"/>
          <w:bCs/>
          <w:color w:val="000000" w:themeColor="text1"/>
          <w:sz w:val="28"/>
          <w:szCs w:val="28"/>
          <w:shd w:val="clear" w:color="auto" w:fill="auto"/>
          <w14:textFill>
            <w14:solidFill>
              <w14:schemeClr w14:val="tx1"/>
            </w14:solidFill>
          </w14:textFill>
        </w:rPr>
        <w:t>PC</w:t>
      </w:r>
      <w:r>
        <w:rPr>
          <w:rFonts w:hint="eastAsia" w:ascii="仿宋" w:hAnsi="仿宋" w:eastAsia="仿宋" w:cs="Times New Roman"/>
          <w:bCs/>
          <w:color w:val="000000" w:themeColor="text1"/>
          <w:sz w:val="28"/>
          <w:szCs w:val="28"/>
          <w:shd w:val="clear" w:color="auto" w:fill="auto"/>
          <w14:textFill>
            <w14:solidFill>
              <w14:schemeClr w14:val="tx1"/>
            </w14:solidFill>
          </w14:textFill>
        </w:rPr>
        <w:t>端业务应用以及信息发布门户，主要业务功能包括全国青少年三大球运动会期间各类赛事资讯内容的展示以及三大球项目赛事信息的同步，全面服务于赛事筹备至顺利开展的各个阶段。</w:t>
      </w:r>
      <w:r>
        <w:rPr>
          <w:rFonts w:hint="eastAsia" w:ascii="仿宋" w:hAnsi="仿宋" w:eastAsia="仿宋" w:cs="Times New Roman"/>
          <w:bCs/>
          <w:color w:val="000000" w:themeColor="text1"/>
          <w:sz w:val="28"/>
          <w:szCs w:val="28"/>
          <w14:textFill>
            <w14:solidFill>
              <w14:schemeClr w14:val="tx1"/>
            </w14:solidFill>
          </w14:textFill>
        </w:rPr>
        <w:t>后台管理系统实现对于官网发布内容、活动及数据的维护。</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本期新增</w:t>
      </w:r>
      <w:r>
        <w:rPr>
          <w:rFonts w:ascii="仿宋" w:hAnsi="仿宋" w:eastAsia="仿宋" w:cs="Times New Roman"/>
          <w:bCs/>
          <w:color w:val="000000" w:themeColor="text1"/>
          <w:sz w:val="28"/>
          <w:szCs w:val="28"/>
          <w:shd w:val="clear" w:color="auto" w:fill="auto"/>
          <w14:textFill>
            <w14:solidFill>
              <w14:schemeClr w14:val="tx1"/>
            </w14:solidFill>
          </w14:textFill>
        </w:rPr>
        <w:t>PC</w:t>
      </w:r>
      <w:r>
        <w:rPr>
          <w:rFonts w:hint="eastAsia" w:ascii="仿宋" w:hAnsi="仿宋" w:eastAsia="仿宋" w:cs="Times New Roman"/>
          <w:bCs/>
          <w:color w:val="000000" w:themeColor="text1"/>
          <w:sz w:val="28"/>
          <w:szCs w:val="28"/>
          <w:shd w:val="clear" w:color="auto" w:fill="auto"/>
          <w14:textFill>
            <w14:solidFill>
              <w14:schemeClr w14:val="tx1"/>
            </w14:solidFill>
          </w14:textFill>
        </w:rPr>
        <w:t>端门户网站及后台管理系统，实现成绩信息展示和其他信息发布模块两个功能模块。</w:t>
      </w:r>
    </w:p>
    <w:p>
      <w:pPr>
        <w:keepNext/>
        <w:keepLines/>
        <w:numPr>
          <w:ilvl w:val="0"/>
          <w:numId w:val="6"/>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新增移动端信息发布系统</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全国青少年三大球运动会移动端信息发布系统是公众访问赛事信息的主要移动端门户，为用户提供简单、快捷的赛事查询服务功能，其中包括：赛程、赛果、排名、运动员信息等内容，进一步提升用户赛事相关信息获取的实时性，进一步提升公众的全国青少年三大球运动会活动参与感。</w:t>
      </w:r>
    </w:p>
    <w:p>
      <w:pPr>
        <w:widowControl/>
        <w:snapToGrid w:val="0"/>
        <w:spacing w:line="460" w:lineRule="exact"/>
        <w:ind w:firstLine="548" w:firstLineChars="196"/>
        <w:jc w:val="left"/>
        <w:rPr>
          <w:rFonts w:ascii="仿宋" w:hAnsi="仿宋" w:eastAsia="仿宋" w:cs="Times New Roman"/>
          <w:bCs/>
          <w:color w:val="000000" w:themeColor="text1"/>
          <w:sz w:val="28"/>
          <w:szCs w:val="28"/>
          <w:shd w:val="clear" w:color="auto" w:fill="auto"/>
          <w14:textFill>
            <w14:solidFill>
              <w14:schemeClr w14:val="tx1"/>
            </w14:solidFill>
          </w14:textFill>
        </w:rPr>
      </w:pPr>
      <w:r>
        <w:rPr>
          <w:rFonts w:hint="eastAsia" w:ascii="仿宋" w:hAnsi="仿宋" w:eastAsia="仿宋" w:cs="Times New Roman"/>
          <w:bCs/>
          <w:color w:val="000000" w:themeColor="text1"/>
          <w:sz w:val="28"/>
          <w:szCs w:val="28"/>
          <w:shd w:val="clear" w:color="auto" w:fill="auto"/>
          <w14:textFill>
            <w14:solidFill>
              <w14:schemeClr w14:val="tx1"/>
            </w14:solidFill>
          </w14:textFill>
        </w:rPr>
        <w:t>本期新增移动端信息发布系统，实现成绩信息展示和其他信息发布模块两个功能模块。</w:t>
      </w:r>
    </w:p>
    <w:p>
      <w:pPr>
        <w:keepNext/>
        <w:keepLines/>
        <w:spacing w:line="600" w:lineRule="exact"/>
        <w:ind w:left="420"/>
        <w:outlineLvl w:val="2"/>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（四）技术运行服务</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技术运行服务的目标是确保软件平台始终处于最佳状态，包括定期的软件更新和安全补丁的应用、性能监控和优化、备份和恢复策略的制定、故障排除和修复，以及持续的用户支持和培训等。须建立一个专业的技术运行服务团队为软件平台提供全面的技术运行服务。同时，技术运行服务应与软件开发和部署过程紧密结合，确保软件平台的稳定性和可维护性。</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本期技术运行服务内容包括：“奔跑吧·少年”赛事活动填报系统技术运行服务、体育基础数据统计填报系统数据统计分析及技术运行服务、</w:t>
      </w:r>
      <w:r>
        <w:rPr>
          <w:rFonts w:ascii="仿宋" w:hAnsi="仿宋" w:eastAsia="仿宋" w:cs="Times New Roman"/>
          <w:bCs/>
          <w:color w:val="000000" w:themeColor="text1"/>
          <w:sz w:val="28"/>
          <w:szCs w:val="28"/>
          <w14:textFill>
            <w14:solidFill>
              <w14:schemeClr w14:val="tx1"/>
            </w14:solidFill>
          </w14:textFill>
        </w:rPr>
        <w:t>U</w:t>
      </w:r>
      <w:r>
        <w:rPr>
          <w:rFonts w:hint="eastAsia" w:ascii="仿宋" w:hAnsi="仿宋" w:eastAsia="仿宋" w:cs="Times New Roman"/>
          <w:bCs/>
          <w:color w:val="000000" w:themeColor="text1"/>
          <w:sz w:val="28"/>
          <w:szCs w:val="28"/>
          <w14:textFill>
            <w14:solidFill>
              <w14:schemeClr w14:val="tx1"/>
            </w14:solidFill>
          </w14:textFill>
        </w:rPr>
        <w:t>系列赛事体系建设管理系统技术运行服务、校外培训机构管理系统技术运行服务和对接十五运三大球青年组赛事数据服务。</w:t>
      </w:r>
    </w:p>
    <w:p>
      <w:pPr>
        <w:keepNext/>
        <w:keepLines/>
        <w:spacing w:line="600" w:lineRule="exact"/>
        <w:ind w:firstLine="281" w:firstLineChars="100"/>
        <w:outlineLvl w:val="2"/>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（五）等保测评和第三方测试</w:t>
      </w:r>
    </w:p>
    <w:p>
      <w:pPr>
        <w:keepNext/>
        <w:keepLines/>
        <w:numPr>
          <w:ilvl w:val="0"/>
          <w:numId w:val="7"/>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软件授权</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针对本项目中服务器和云端使用的操作系统、中间件、数据库等软件系统，服务提供商须为甲方购买其正版授权。</w:t>
      </w:r>
    </w:p>
    <w:p>
      <w:pPr>
        <w:keepNext/>
        <w:keepLines/>
        <w:numPr>
          <w:ilvl w:val="0"/>
          <w:numId w:val="7"/>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第三方测试服务</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软件第三方测试是检查实际结果与预期结果是否匹配并确保软件系统无缺陷的活动。软件测试还有助于识别产品与实际需求不符或是缺失项，是软件交付使用前对项目进行评估、认定和总结的过程，包括费用、质量、服务等多个方面。通过验收工作，找出项目中可能存在的问题和不足，并进行最后的修正，使项目成果完美地交付到最终使用人员手中。</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第三方测试服务范围应包括本项目定制开发的所有软件。</w:t>
      </w:r>
    </w:p>
    <w:p>
      <w:pPr>
        <w:keepNext/>
        <w:keepLines/>
        <w:numPr>
          <w:ilvl w:val="0"/>
          <w:numId w:val="7"/>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网络与信息安全服务（云侧）</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须为本项目提供网络与信息安全服务（云侧）。本项目采用了云计算环境作为信息系统的主要计算资源，并承载绝大部分的应用及业务系统。云计算中心须充分进行网络安全威胁分析，须充分考虑平台的可用性、完整性和机密性。网络与信息安全服务（云侧）须对主要威胁和攻击手法进行相应的应对防御，包括：</w:t>
      </w:r>
      <w:r>
        <w:rPr>
          <w:rFonts w:ascii="仿宋" w:hAnsi="仿宋" w:eastAsia="仿宋" w:cs="Times New Roman"/>
          <w:bCs/>
          <w:color w:val="000000" w:themeColor="text1"/>
          <w:sz w:val="28"/>
          <w:szCs w:val="28"/>
          <w14:textFill>
            <w14:solidFill>
              <w14:schemeClr w14:val="tx1"/>
            </w14:solidFill>
          </w14:textFill>
        </w:rPr>
        <w:t>DDOS</w:t>
      </w:r>
      <w:r>
        <w:rPr>
          <w:rFonts w:hint="eastAsia" w:ascii="仿宋" w:hAnsi="仿宋" w:eastAsia="仿宋" w:cs="Times New Roman"/>
          <w:bCs/>
          <w:color w:val="000000" w:themeColor="text1"/>
          <w:sz w:val="28"/>
          <w:szCs w:val="28"/>
          <w14:textFill>
            <w14:solidFill>
              <w14:schemeClr w14:val="tx1"/>
            </w14:solidFill>
          </w14:textFill>
        </w:rPr>
        <w:t>攻击、</w:t>
      </w:r>
      <w:r>
        <w:rPr>
          <w:rFonts w:ascii="仿宋" w:hAnsi="仿宋" w:eastAsia="仿宋" w:cs="Times New Roman"/>
          <w:bCs/>
          <w:color w:val="000000" w:themeColor="text1"/>
          <w:sz w:val="28"/>
          <w:szCs w:val="28"/>
          <w14:textFill>
            <w14:solidFill>
              <w14:schemeClr w14:val="tx1"/>
            </w14:solidFill>
          </w14:textFill>
        </w:rPr>
        <w:t>CC</w:t>
      </w:r>
      <w:r>
        <w:rPr>
          <w:rFonts w:hint="eastAsia" w:ascii="仿宋" w:hAnsi="仿宋" w:eastAsia="仿宋" w:cs="Times New Roman"/>
          <w:bCs/>
          <w:color w:val="000000" w:themeColor="text1"/>
          <w:sz w:val="28"/>
          <w:szCs w:val="28"/>
          <w14:textFill>
            <w14:solidFill>
              <w14:schemeClr w14:val="tx1"/>
            </w14:solidFill>
          </w14:textFill>
        </w:rPr>
        <w:t>攻击、网站入侵、域名劫持、感染僵、木、蠕、毒及植入后门程序等多种网络安全威胁。</w:t>
      </w:r>
    </w:p>
    <w:p>
      <w:pPr>
        <w:keepNext/>
        <w:keepLines/>
        <w:numPr>
          <w:ilvl w:val="0"/>
          <w:numId w:val="7"/>
        </w:numPr>
        <w:spacing w:line="600" w:lineRule="exact"/>
        <w:outlineLvl w:val="3"/>
        <w:rPr>
          <w:rFonts w:ascii="仿宋" w:hAnsi="仿宋" w:eastAsia="仿宋" w:cs="CESI仿宋-GB2312"/>
          <w:sz w:val="28"/>
          <w:szCs w:val="28"/>
        </w:rPr>
      </w:pPr>
      <w:r>
        <w:rPr>
          <w:rFonts w:hint="eastAsia" w:ascii="仿宋" w:hAnsi="仿宋" w:eastAsia="仿宋" w:cs="CESI仿宋-GB2312"/>
          <w:sz w:val="28"/>
          <w:szCs w:val="28"/>
        </w:rPr>
        <w:t>网络安全等保服务（云侧）</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服务提供商须为本项目提供网络安全等保服务（云侧）。根据《信息安全技术网络安全等级保护定级指南》</w:t>
      </w:r>
      <w:r>
        <w:rPr>
          <w:rFonts w:ascii="仿宋" w:hAnsi="仿宋" w:eastAsia="仿宋" w:cs="Times New Roman"/>
          <w:bCs/>
          <w:color w:val="000000" w:themeColor="text1"/>
          <w:sz w:val="28"/>
          <w:szCs w:val="28"/>
          <w14:textFill>
            <w14:solidFill>
              <w14:schemeClr w14:val="tx1"/>
            </w14:solidFill>
          </w14:textFill>
        </w:rPr>
        <w:t>GB/T 22240-2020</w:t>
      </w:r>
      <w:r>
        <w:rPr>
          <w:rFonts w:hint="eastAsia" w:ascii="仿宋" w:hAnsi="仿宋" w:eastAsia="仿宋" w:cs="Times New Roman"/>
          <w:bCs/>
          <w:color w:val="000000" w:themeColor="text1"/>
          <w:sz w:val="28"/>
          <w:szCs w:val="28"/>
          <w14:textFill>
            <w14:solidFill>
              <w14:schemeClr w14:val="tx1"/>
            </w14:solidFill>
          </w14:textFill>
        </w:rPr>
        <w:t>和国家其他网络安全法律法规规定，对信息系统开展网络安全等保测评服务，确保相关系统符合国家网络安全相关法律法规要求，保障信息系统安全高效运行。</w:t>
      </w:r>
    </w:p>
    <w:p>
      <w:pPr>
        <w:keepNext/>
        <w:keepLines/>
        <w:spacing w:line="600" w:lineRule="exact"/>
        <w:ind w:firstLine="562" w:firstLineChars="200"/>
        <w:outlineLvl w:val="1"/>
        <w:rPr>
          <w:rFonts w:ascii="仿宋" w:hAnsi="仿宋" w:eastAsia="仿宋" w:cs="CESI仿宋-GB2312"/>
          <w:b/>
          <w:bCs/>
          <w:sz w:val="28"/>
          <w:szCs w:val="28"/>
        </w:rPr>
      </w:pPr>
      <w:r>
        <w:rPr>
          <w:rFonts w:hint="eastAsia" w:ascii="仿宋" w:hAnsi="仿宋" w:eastAsia="仿宋" w:cs="CESI仿宋-GB2312"/>
          <w:b/>
          <w:bCs/>
          <w:sz w:val="28"/>
          <w:szCs w:val="28"/>
        </w:rPr>
        <w:t>三、服务保障要求</w:t>
      </w:r>
    </w:p>
    <w:p>
      <w:pPr>
        <w:spacing w:line="600" w:lineRule="exact"/>
        <w:ind w:firstLine="562" w:firstLineChars="200"/>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（一）例行操作要求</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巡检要求：服务提供商应根据不同的服务内容，提出关键巡检指标，制定巡检计划。</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备份要求：服务提供商应根据不同的服务内容，提出备份策略，制定备份计划，保证在服务期间，如果发生问题，不影响服务的正常交付。</w:t>
      </w:r>
    </w:p>
    <w:p>
      <w:pPr>
        <w:spacing w:line="600" w:lineRule="exact"/>
        <w:ind w:firstLine="562" w:firstLineChars="200"/>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（二）响应支持要求</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服务提供商应建立故障响应的机制，根据不同的服务内容，定义故障等级，按照故障等级进行响应。如涉及到核心功能的变更，必须提前三天向服务需求方提交变更申请，经审批后准予变更。</w:t>
      </w:r>
    </w:p>
    <w:p>
      <w:pPr>
        <w:spacing w:line="600" w:lineRule="exact"/>
        <w:ind w:firstLine="562" w:firstLineChars="200"/>
        <w:rPr>
          <w:rFonts w:ascii="仿宋" w:hAnsi="仿宋" w:eastAsia="仿宋" w:cs="CESI仿宋-GB2312"/>
          <w:b/>
          <w:bCs/>
          <w:color w:val="000000"/>
          <w:sz w:val="28"/>
          <w:szCs w:val="28"/>
        </w:rPr>
      </w:pPr>
      <w:r>
        <w:rPr>
          <w:rFonts w:hint="eastAsia" w:ascii="仿宋" w:hAnsi="仿宋" w:eastAsia="仿宋" w:cs="CESI仿宋-GB2312"/>
          <w:b/>
          <w:bCs/>
          <w:sz w:val="28"/>
          <w:szCs w:val="28"/>
        </w:rPr>
        <w:t>（</w:t>
      </w:r>
      <w:r>
        <w:rPr>
          <w:rFonts w:hint="eastAsia" w:ascii="仿宋" w:hAnsi="仿宋" w:eastAsia="仿宋" w:cs="CESI仿宋-GB2312"/>
          <w:b/>
          <w:bCs/>
          <w:color w:val="000000"/>
          <w:sz w:val="28"/>
          <w:szCs w:val="28"/>
        </w:rPr>
        <w:t>三）应急响应要求</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服务提供商应根据不同的服务内容，制定相应的应急预案。应急预案应包括启动时机、应急组织、应急人员联络方式及详尽的应急方法和处理措施。</w:t>
      </w:r>
    </w:p>
    <w:p>
      <w:pPr>
        <w:spacing w:line="600" w:lineRule="exact"/>
        <w:ind w:firstLine="562" w:firstLineChars="200"/>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（四）可用性要求</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服务提供商应确保服务的可用性达到各系统可用性设计指标。</w:t>
      </w:r>
    </w:p>
    <w:p>
      <w:pPr>
        <w:keepNext/>
        <w:keepLines/>
        <w:spacing w:line="600" w:lineRule="exact"/>
        <w:ind w:firstLine="562" w:firstLineChars="200"/>
        <w:outlineLvl w:val="1"/>
        <w:rPr>
          <w:rFonts w:ascii="仿宋" w:hAnsi="仿宋" w:eastAsia="仿宋" w:cs="CESI仿宋-GB2312"/>
          <w:b/>
          <w:bCs/>
          <w:sz w:val="28"/>
          <w:szCs w:val="28"/>
        </w:rPr>
      </w:pPr>
      <w:r>
        <w:rPr>
          <w:rFonts w:hint="eastAsia" w:ascii="仿宋" w:hAnsi="仿宋" w:eastAsia="仿宋" w:cs="CESI仿宋-GB2312"/>
          <w:b/>
          <w:bCs/>
          <w:sz w:val="28"/>
          <w:szCs w:val="28"/>
        </w:rPr>
        <w:t>四、服务保障要求</w:t>
      </w:r>
    </w:p>
    <w:p>
      <w:pPr>
        <w:spacing w:line="600" w:lineRule="exact"/>
        <w:ind w:firstLine="562" w:firstLineChars="200"/>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（一）服务提供商能力要求</w:t>
      </w:r>
    </w:p>
    <w:p>
      <w:pPr>
        <w:spacing w:line="600" w:lineRule="exact"/>
        <w:ind w:firstLine="560" w:firstLineChars="200"/>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服务提供商应具备承担类似信息化项目的能力，具有承担类似信息化项目成功案例，案例中应包括本项目部分或全部采购内容。</w:t>
      </w:r>
    </w:p>
    <w:p>
      <w:pPr>
        <w:spacing w:line="600" w:lineRule="exact"/>
        <w:ind w:firstLine="562" w:firstLineChars="200"/>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（二）服务人员能力要求</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服务提供商的服务人员须具备专业技术能力和丰富的服务经验，拥有与本项目服务相关的工作经历，具体要求符合本项目“采购内容”和“服务保障要求”中对团队成员的要求。</w:t>
      </w:r>
    </w:p>
    <w:p>
      <w:pPr>
        <w:spacing w:line="600" w:lineRule="exact"/>
        <w:ind w:firstLine="562" w:firstLineChars="200"/>
        <w:rPr>
          <w:rFonts w:ascii="仿宋" w:hAnsi="仿宋" w:eastAsia="仿宋" w:cs="CESI仿宋-GB2312"/>
          <w:b/>
          <w:bCs/>
          <w:sz w:val="28"/>
          <w:szCs w:val="28"/>
        </w:rPr>
      </w:pPr>
      <w:r>
        <w:rPr>
          <w:rFonts w:hint="eastAsia" w:ascii="仿宋" w:hAnsi="仿宋" w:eastAsia="仿宋" w:cs="CESI仿宋-GB2312"/>
          <w:b/>
          <w:bCs/>
          <w:sz w:val="28"/>
          <w:szCs w:val="28"/>
        </w:rPr>
        <w:t>五、培训要求</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服务提供商应从全局角度出发，提供完整的培训方案。培训方案应包括但不限于培训目标、培训对象、培训内容、培训计划等。</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所有培训费用（含培训教材费）及各项支出可包含在服务报价中，无须单列。</w:t>
      </w:r>
    </w:p>
    <w:p>
      <w:pPr>
        <w:spacing w:line="600" w:lineRule="exact"/>
        <w:ind w:firstLine="562" w:firstLineChars="200"/>
        <w:rPr>
          <w:rFonts w:ascii="仿宋" w:hAnsi="仿宋" w:eastAsia="仿宋" w:cs="CESI仿宋-GB2312"/>
          <w:b/>
          <w:bCs/>
          <w:sz w:val="28"/>
          <w:szCs w:val="28"/>
        </w:rPr>
      </w:pPr>
      <w:r>
        <w:rPr>
          <w:rFonts w:hint="eastAsia" w:ascii="仿宋" w:hAnsi="仿宋" w:eastAsia="仿宋" w:cs="CESI仿宋-GB2312"/>
          <w:b/>
          <w:bCs/>
          <w:sz w:val="28"/>
          <w:szCs w:val="28"/>
        </w:rPr>
        <w:t>六、验收要求</w:t>
      </w:r>
    </w:p>
    <w:p>
      <w:pPr>
        <w:widowControl/>
        <w:snapToGrid w:val="0"/>
        <w:spacing w:line="460" w:lineRule="exact"/>
        <w:ind w:firstLine="548" w:firstLineChars="196"/>
        <w:jc w:val="left"/>
        <w:rPr>
          <w:rFonts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本项目验收标准是按合同文件、采购文件中的要求或不低于合同文件、采购文件要求的标准。依据相关文件中的相关验收标准及要求的承诺情况，本项目验收标准有利于项目实施且合理、可操作。</w:t>
      </w:r>
    </w:p>
    <w:p>
      <w:pPr>
        <w:keepNext/>
        <w:keepLines/>
        <w:numPr>
          <w:ilvl w:val="0"/>
          <w:numId w:val="8"/>
        </w:numPr>
        <w:spacing w:line="600" w:lineRule="exact"/>
        <w:ind w:firstLine="420"/>
        <w:outlineLvl w:val="2"/>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验收组织和程序</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1.</w:t>
      </w:r>
      <w:r>
        <w:rPr>
          <w:rFonts w:hint="eastAsia" w:ascii="仿宋" w:hAnsi="仿宋" w:eastAsia="仿宋" w:cs="CESI仿宋-GB2312"/>
          <w:sz w:val="28"/>
          <w:szCs w:val="28"/>
        </w:rPr>
        <w:t>政策依据</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根据以下法律、法规、规范性文件要求组织验收。</w:t>
      </w:r>
    </w:p>
    <w:p>
      <w:pPr>
        <w:numPr>
          <w:ilvl w:val="0"/>
          <w:numId w:val="9"/>
        </w:numPr>
        <w:spacing w:line="600" w:lineRule="exact"/>
        <w:rPr>
          <w:rFonts w:ascii="仿宋" w:hAnsi="仿宋" w:eastAsia="仿宋" w:cs="CESI仿宋-GB2312"/>
          <w:sz w:val="28"/>
          <w:szCs w:val="28"/>
        </w:rPr>
      </w:pPr>
      <w:r>
        <w:rPr>
          <w:rFonts w:hint="eastAsia" w:ascii="仿宋" w:hAnsi="仿宋" w:eastAsia="仿宋" w:cs="CESI仿宋-GB2312"/>
          <w:sz w:val="28"/>
          <w:szCs w:val="28"/>
        </w:rPr>
        <w:t>《中华人民共和国政府采购法》</w:t>
      </w:r>
    </w:p>
    <w:p>
      <w:pPr>
        <w:numPr>
          <w:ilvl w:val="0"/>
          <w:numId w:val="9"/>
        </w:numPr>
        <w:spacing w:line="600" w:lineRule="exact"/>
        <w:rPr>
          <w:rFonts w:ascii="仿宋" w:hAnsi="仿宋" w:eastAsia="仿宋" w:cs="CESI仿宋-GB2312"/>
          <w:sz w:val="28"/>
          <w:szCs w:val="28"/>
        </w:rPr>
      </w:pPr>
      <w:r>
        <w:rPr>
          <w:rFonts w:hint="eastAsia" w:ascii="仿宋" w:hAnsi="仿宋" w:eastAsia="仿宋" w:cs="CESI仿宋-GB2312"/>
          <w:sz w:val="28"/>
          <w:szCs w:val="28"/>
        </w:rPr>
        <w:t>《中华人民共和国民法典》</w:t>
      </w:r>
    </w:p>
    <w:p>
      <w:pPr>
        <w:numPr>
          <w:ilvl w:val="0"/>
          <w:numId w:val="9"/>
        </w:numPr>
        <w:spacing w:line="600" w:lineRule="exact"/>
        <w:rPr>
          <w:rFonts w:ascii="仿宋" w:hAnsi="仿宋" w:eastAsia="仿宋" w:cs="CESI仿宋-GB2312"/>
          <w:sz w:val="28"/>
          <w:szCs w:val="28"/>
        </w:rPr>
      </w:pPr>
      <w:r>
        <w:rPr>
          <w:rFonts w:hint="eastAsia" w:ascii="仿宋" w:hAnsi="仿宋" w:eastAsia="仿宋" w:cs="CESI仿宋-GB2312"/>
          <w:sz w:val="28"/>
          <w:szCs w:val="28"/>
        </w:rPr>
        <w:t>《中华人民共和国政府采购法实施条例》</w:t>
      </w:r>
    </w:p>
    <w:p>
      <w:pPr>
        <w:numPr>
          <w:ilvl w:val="0"/>
          <w:numId w:val="9"/>
        </w:numPr>
        <w:spacing w:line="600" w:lineRule="exact"/>
        <w:rPr>
          <w:rFonts w:ascii="仿宋" w:hAnsi="仿宋" w:eastAsia="仿宋" w:cs="CESI仿宋-GB2312"/>
          <w:sz w:val="28"/>
          <w:szCs w:val="28"/>
        </w:rPr>
      </w:pPr>
      <w:r>
        <w:rPr>
          <w:rFonts w:hint="eastAsia" w:ascii="仿宋" w:hAnsi="仿宋" w:eastAsia="仿宋" w:cs="CESI仿宋-GB2312"/>
          <w:sz w:val="28"/>
          <w:szCs w:val="28"/>
        </w:rPr>
        <w:t>《财政部关于进一步加强政府采购需求和履约验收管理的指导意见》（财库</w:t>
      </w:r>
      <w:r>
        <w:rPr>
          <w:rFonts w:ascii="仿宋" w:hAnsi="仿宋" w:eastAsia="仿宋" w:cs="CESI仿宋-GB2312"/>
          <w:sz w:val="28"/>
          <w:szCs w:val="28"/>
        </w:rPr>
        <w:t>[2016]205</w:t>
      </w:r>
      <w:r>
        <w:rPr>
          <w:rFonts w:hint="eastAsia" w:ascii="仿宋" w:hAnsi="仿宋" w:eastAsia="仿宋" w:cs="CESI仿宋-GB2312"/>
          <w:sz w:val="28"/>
          <w:szCs w:val="28"/>
        </w:rPr>
        <w:t>号）</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2.</w:t>
      </w:r>
      <w:r>
        <w:rPr>
          <w:rFonts w:hint="eastAsia" w:ascii="仿宋" w:hAnsi="仿宋" w:eastAsia="仿宋" w:cs="CESI仿宋-GB2312"/>
          <w:sz w:val="28"/>
          <w:szCs w:val="28"/>
        </w:rPr>
        <w:t>验收主责部门</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国家体育总局青少司是本项目的管理部门，负责评估、决策项目建设是否达到验收标准，指定项目验收负责人并组织项目验收工作。本项目监理（如有）参与评估项目建设是否达到验收标准，协助项目验收负责人组织验收工作，并参与验收评审。</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3.</w:t>
      </w:r>
      <w:r>
        <w:rPr>
          <w:rFonts w:hint="eastAsia" w:ascii="仿宋" w:hAnsi="仿宋" w:eastAsia="仿宋" w:cs="CESI仿宋-GB2312"/>
          <w:sz w:val="28"/>
          <w:szCs w:val="28"/>
        </w:rPr>
        <w:t>验收流程</w:t>
      </w:r>
    </w:p>
    <w:p>
      <w:pPr>
        <w:numPr>
          <w:ilvl w:val="1"/>
          <w:numId w:val="10"/>
        </w:numPr>
        <w:spacing w:line="600" w:lineRule="exact"/>
        <w:ind w:left="0" w:firstLine="426"/>
        <w:rPr>
          <w:rFonts w:ascii="仿宋" w:hAnsi="仿宋" w:eastAsia="仿宋" w:cs="CESI仿宋-GB2312"/>
          <w:sz w:val="28"/>
          <w:szCs w:val="28"/>
        </w:rPr>
      </w:pPr>
      <w:r>
        <w:rPr>
          <w:rFonts w:hint="eastAsia" w:ascii="仿宋" w:hAnsi="仿宋" w:eastAsia="仿宋" w:cs="CESI仿宋-GB2312"/>
          <w:sz w:val="28"/>
          <w:szCs w:val="28"/>
        </w:rPr>
        <w:t>项目组提出验收申请。</w:t>
      </w:r>
    </w:p>
    <w:p>
      <w:pPr>
        <w:numPr>
          <w:ilvl w:val="1"/>
          <w:numId w:val="10"/>
        </w:numPr>
        <w:spacing w:line="600" w:lineRule="exact"/>
        <w:ind w:left="0" w:firstLine="426"/>
        <w:rPr>
          <w:rFonts w:ascii="仿宋" w:hAnsi="仿宋" w:eastAsia="仿宋" w:cs="CESI仿宋-GB2312"/>
          <w:sz w:val="28"/>
          <w:szCs w:val="28"/>
        </w:rPr>
      </w:pPr>
      <w:r>
        <w:rPr>
          <w:rFonts w:hint="eastAsia" w:ascii="仿宋" w:hAnsi="仿宋" w:eastAsia="仿宋" w:cs="CESI仿宋-GB2312"/>
          <w:sz w:val="28"/>
          <w:szCs w:val="28"/>
        </w:rPr>
        <w:t>项目验收负责人会同本项目监理（如有），主持验收工作。</w:t>
      </w:r>
    </w:p>
    <w:p>
      <w:pPr>
        <w:numPr>
          <w:ilvl w:val="1"/>
          <w:numId w:val="10"/>
        </w:numPr>
        <w:spacing w:line="600" w:lineRule="exact"/>
        <w:ind w:left="0" w:firstLine="426"/>
        <w:rPr>
          <w:rFonts w:ascii="仿宋" w:hAnsi="仿宋" w:eastAsia="仿宋" w:cs="CESI仿宋-GB2312"/>
          <w:sz w:val="28"/>
          <w:szCs w:val="28"/>
        </w:rPr>
      </w:pPr>
      <w:r>
        <w:rPr>
          <w:rFonts w:hint="eastAsia" w:ascii="仿宋" w:hAnsi="仿宋" w:eastAsia="仿宋" w:cs="CESI仿宋-GB2312"/>
          <w:sz w:val="28"/>
          <w:szCs w:val="28"/>
        </w:rPr>
        <w:t>成立验收小组，按照验收方案独立开展验收，对项目组提供的服务按照采购文件、投标文件、项目合同进行核对、验收，并做好验收记录。</w:t>
      </w:r>
    </w:p>
    <w:p>
      <w:pPr>
        <w:numPr>
          <w:ilvl w:val="1"/>
          <w:numId w:val="10"/>
        </w:numPr>
        <w:spacing w:line="600" w:lineRule="exact"/>
        <w:ind w:left="0" w:firstLine="426"/>
        <w:rPr>
          <w:rFonts w:ascii="仿宋" w:hAnsi="仿宋" w:eastAsia="仿宋" w:cs="CESI仿宋-GB2312"/>
          <w:sz w:val="28"/>
          <w:szCs w:val="28"/>
        </w:rPr>
      </w:pPr>
      <w:r>
        <w:rPr>
          <w:rFonts w:hint="eastAsia" w:ascii="仿宋" w:hAnsi="仿宋" w:eastAsia="仿宋" w:cs="CESI仿宋-GB2312"/>
          <w:sz w:val="28"/>
          <w:szCs w:val="28"/>
        </w:rPr>
        <w:t>项目组配合验收工作，并就验收实施过程中的疑问进行解答和澄清。</w:t>
      </w:r>
    </w:p>
    <w:p>
      <w:pPr>
        <w:numPr>
          <w:ilvl w:val="1"/>
          <w:numId w:val="10"/>
        </w:numPr>
        <w:spacing w:line="600" w:lineRule="exact"/>
        <w:ind w:left="0" w:firstLine="426"/>
        <w:rPr>
          <w:rFonts w:ascii="仿宋" w:hAnsi="仿宋" w:eastAsia="仿宋" w:cs="CESI仿宋-GB2312"/>
          <w:sz w:val="28"/>
          <w:szCs w:val="28"/>
        </w:rPr>
      </w:pPr>
      <w:r>
        <w:rPr>
          <w:rFonts w:hint="eastAsia" w:ascii="仿宋" w:hAnsi="仿宋" w:eastAsia="仿宋" w:cs="CESI仿宋-GB2312"/>
          <w:sz w:val="28"/>
          <w:szCs w:val="28"/>
        </w:rPr>
        <w:t>出具验收报告。验收结束后，由验收小组出具验收报告，验收报告应当根据验收方案编制，以书面形式作出结论性意见，并经验收小组全体成员签字。验收小组成员对验收报告载明的结论有异议的，应当在验收报告上签署不同意并说明理由，否则视为同意验收结论。</w:t>
      </w:r>
    </w:p>
    <w:p>
      <w:pPr>
        <w:numPr>
          <w:ilvl w:val="1"/>
          <w:numId w:val="10"/>
        </w:numPr>
        <w:spacing w:line="600" w:lineRule="exact"/>
        <w:ind w:left="0" w:firstLine="426"/>
        <w:rPr>
          <w:rFonts w:ascii="仿宋" w:hAnsi="仿宋" w:eastAsia="仿宋" w:cs="CESI仿宋-GB2312"/>
          <w:sz w:val="28"/>
          <w:szCs w:val="28"/>
        </w:rPr>
      </w:pPr>
      <w:r>
        <w:rPr>
          <w:rFonts w:hint="eastAsia" w:ascii="仿宋" w:hAnsi="仿宋" w:eastAsia="仿宋" w:cs="CESI仿宋-GB2312"/>
          <w:sz w:val="28"/>
          <w:szCs w:val="28"/>
        </w:rPr>
        <w:t>验收不合格的，应责令项目组采取补救措施，向项目组发出整改通知书，并依法及时处理。整改结束后，由项目组重新提交验收申请。</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4.</w:t>
      </w:r>
      <w:r>
        <w:rPr>
          <w:rFonts w:hint="eastAsia" w:ascii="仿宋" w:hAnsi="仿宋" w:eastAsia="仿宋" w:cs="CESI仿宋-GB2312"/>
          <w:sz w:val="28"/>
          <w:szCs w:val="28"/>
        </w:rPr>
        <w:t>履约验收时间</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以实际验收时间为准，当前根据合同及进度计划设置的验收里程碑时间为：</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初验：不早于</w:t>
      </w:r>
      <w:r>
        <w:rPr>
          <w:rFonts w:ascii="仿宋" w:hAnsi="仿宋" w:eastAsia="仿宋" w:cs="CESI仿宋-GB2312"/>
          <w:sz w:val="28"/>
          <w:szCs w:val="28"/>
        </w:rPr>
        <w:t>2025</w:t>
      </w:r>
      <w:r>
        <w:rPr>
          <w:rFonts w:hint="eastAsia" w:ascii="仿宋" w:hAnsi="仿宋" w:eastAsia="仿宋" w:cs="CESI仿宋-GB2312"/>
          <w:sz w:val="28"/>
          <w:szCs w:val="28"/>
        </w:rPr>
        <w:t>年</w:t>
      </w:r>
      <w:r>
        <w:rPr>
          <w:rFonts w:ascii="仿宋" w:hAnsi="仿宋" w:eastAsia="仿宋" w:cs="CESI仿宋-GB2312"/>
          <w:sz w:val="28"/>
          <w:szCs w:val="28"/>
        </w:rPr>
        <w:t>8</w:t>
      </w:r>
      <w:r>
        <w:rPr>
          <w:rFonts w:hint="eastAsia" w:ascii="仿宋" w:hAnsi="仿宋" w:eastAsia="仿宋" w:cs="CESI仿宋-GB2312"/>
          <w:sz w:val="28"/>
          <w:szCs w:val="28"/>
        </w:rPr>
        <w:t>月；</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终验：全国青少年体育信息工作平台升级改造项目完成后【</w:t>
      </w:r>
      <w:r>
        <w:rPr>
          <w:rFonts w:ascii="仿宋" w:hAnsi="仿宋" w:eastAsia="仿宋" w:cs="CESI仿宋-GB2312"/>
          <w:sz w:val="28"/>
          <w:szCs w:val="28"/>
        </w:rPr>
        <w:t>30</w:t>
      </w:r>
      <w:r>
        <w:rPr>
          <w:rFonts w:hint="eastAsia" w:ascii="仿宋" w:hAnsi="仿宋" w:eastAsia="仿宋" w:cs="CESI仿宋-GB2312"/>
          <w:sz w:val="28"/>
          <w:szCs w:val="28"/>
        </w:rPr>
        <w:t>】日内（以实际验收时间为准）。</w:t>
      </w:r>
    </w:p>
    <w:p>
      <w:pPr>
        <w:keepNext/>
        <w:keepLines/>
        <w:numPr>
          <w:ilvl w:val="0"/>
          <w:numId w:val="8"/>
        </w:numPr>
        <w:spacing w:line="600" w:lineRule="exact"/>
        <w:ind w:firstLine="420"/>
        <w:outlineLvl w:val="2"/>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初验</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1.</w:t>
      </w:r>
      <w:r>
        <w:rPr>
          <w:rFonts w:hint="eastAsia" w:ascii="仿宋" w:hAnsi="仿宋" w:eastAsia="仿宋" w:cs="CESI仿宋-GB2312"/>
          <w:sz w:val="28"/>
          <w:szCs w:val="28"/>
        </w:rPr>
        <w:t>初验条件</w:t>
      </w:r>
    </w:p>
    <w:p>
      <w:pPr>
        <w:numPr>
          <w:ilvl w:val="0"/>
          <w:numId w:val="11"/>
        </w:numPr>
        <w:spacing w:line="600" w:lineRule="exact"/>
        <w:rPr>
          <w:rFonts w:ascii="仿宋" w:hAnsi="仿宋" w:eastAsia="仿宋" w:cs="CESI仿宋-GB2312"/>
          <w:sz w:val="28"/>
          <w:szCs w:val="28"/>
        </w:rPr>
      </w:pPr>
      <w:r>
        <w:rPr>
          <w:rFonts w:hint="eastAsia" w:ascii="仿宋" w:hAnsi="仿宋" w:eastAsia="仿宋" w:cs="CESI仿宋-GB2312"/>
          <w:sz w:val="28"/>
          <w:szCs w:val="28"/>
        </w:rPr>
        <w:t>“奔跑吧·少年”赛事活动填报系统通过第三方测试；</w:t>
      </w:r>
    </w:p>
    <w:p>
      <w:pPr>
        <w:numPr>
          <w:ilvl w:val="0"/>
          <w:numId w:val="11"/>
        </w:numPr>
        <w:spacing w:line="600" w:lineRule="exact"/>
        <w:rPr>
          <w:rFonts w:ascii="仿宋" w:hAnsi="仿宋" w:eastAsia="仿宋" w:cs="CESI仿宋-GB2312"/>
          <w:sz w:val="28"/>
          <w:szCs w:val="28"/>
        </w:rPr>
      </w:pPr>
      <w:r>
        <w:rPr>
          <w:rFonts w:hint="eastAsia" w:ascii="仿宋" w:hAnsi="仿宋" w:eastAsia="仿宋" w:cs="CESI仿宋-GB2312"/>
          <w:sz w:val="28"/>
          <w:szCs w:val="28"/>
        </w:rPr>
        <w:t>三大球运动会赛事信息系统（二期）通过第三方测试；</w:t>
      </w:r>
    </w:p>
    <w:p>
      <w:pPr>
        <w:numPr>
          <w:ilvl w:val="0"/>
          <w:numId w:val="11"/>
        </w:numPr>
        <w:spacing w:line="600" w:lineRule="exact"/>
        <w:rPr>
          <w:rFonts w:ascii="仿宋" w:hAnsi="仿宋" w:eastAsia="仿宋" w:cs="CESI仿宋-GB2312"/>
          <w:sz w:val="28"/>
          <w:szCs w:val="28"/>
        </w:rPr>
      </w:pPr>
      <w:r>
        <w:rPr>
          <w:rFonts w:hint="eastAsia" w:ascii="仿宋" w:hAnsi="仿宋" w:eastAsia="仿宋" w:cs="CESI仿宋-GB2312"/>
          <w:sz w:val="28"/>
          <w:szCs w:val="28"/>
        </w:rPr>
        <w:t>体育基础数据统计填报系统通过第三方测试。</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2.</w:t>
      </w:r>
      <w:r>
        <w:rPr>
          <w:rFonts w:hint="eastAsia" w:ascii="仿宋" w:hAnsi="仿宋" w:eastAsia="仿宋" w:cs="CESI仿宋-GB2312"/>
          <w:sz w:val="28"/>
          <w:szCs w:val="28"/>
        </w:rPr>
        <w:t>项目组提交初验申请。</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3.</w:t>
      </w:r>
      <w:r>
        <w:rPr>
          <w:rFonts w:hint="eastAsia" w:ascii="仿宋" w:hAnsi="仿宋" w:eastAsia="仿宋" w:cs="CESI仿宋-GB2312"/>
          <w:sz w:val="28"/>
          <w:szCs w:val="28"/>
        </w:rPr>
        <w:t>项目验收负责人会同本项目监理（如有），按照“验收组织和程序”，主持项目初验工作。</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4.</w:t>
      </w:r>
      <w:r>
        <w:rPr>
          <w:rFonts w:hint="eastAsia" w:ascii="仿宋" w:hAnsi="仿宋" w:eastAsia="仿宋" w:cs="CESI仿宋-GB2312"/>
          <w:sz w:val="28"/>
          <w:szCs w:val="28"/>
        </w:rPr>
        <w:t>初验时应提交相关交付物，经相关程序评审或审核通过。</w:t>
      </w:r>
    </w:p>
    <w:p>
      <w:pPr>
        <w:keepNext/>
        <w:keepLines/>
        <w:numPr>
          <w:ilvl w:val="0"/>
          <w:numId w:val="8"/>
        </w:numPr>
        <w:spacing w:line="600" w:lineRule="exact"/>
        <w:ind w:firstLine="420"/>
        <w:outlineLvl w:val="2"/>
        <w:rPr>
          <w:rFonts w:ascii="仿宋" w:hAnsi="仿宋" w:eastAsia="仿宋" w:cs="CESI仿宋-GB2312"/>
          <w:b/>
          <w:bCs/>
          <w:color w:val="000000"/>
          <w:sz w:val="28"/>
          <w:szCs w:val="28"/>
        </w:rPr>
      </w:pPr>
      <w:r>
        <w:rPr>
          <w:rFonts w:hint="eastAsia" w:ascii="仿宋" w:hAnsi="仿宋" w:eastAsia="仿宋" w:cs="CESI仿宋-GB2312"/>
          <w:b/>
          <w:bCs/>
          <w:color w:val="000000"/>
          <w:sz w:val="28"/>
          <w:szCs w:val="28"/>
        </w:rPr>
        <w:t>终验</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1.</w:t>
      </w:r>
      <w:r>
        <w:rPr>
          <w:rFonts w:hint="eastAsia" w:ascii="仿宋" w:hAnsi="仿宋" w:eastAsia="仿宋" w:cs="CESI仿宋-GB2312"/>
          <w:sz w:val="28"/>
          <w:szCs w:val="28"/>
        </w:rPr>
        <w:t>终验条件</w:t>
      </w:r>
    </w:p>
    <w:p>
      <w:pPr>
        <w:numPr>
          <w:ilvl w:val="0"/>
          <w:numId w:val="11"/>
        </w:numPr>
        <w:spacing w:line="600" w:lineRule="exact"/>
        <w:rPr>
          <w:rFonts w:ascii="仿宋" w:hAnsi="仿宋" w:eastAsia="仿宋" w:cs="CESI仿宋-GB2312"/>
          <w:sz w:val="28"/>
          <w:szCs w:val="28"/>
        </w:rPr>
      </w:pPr>
      <w:r>
        <w:rPr>
          <w:rFonts w:hint="eastAsia" w:ascii="仿宋" w:hAnsi="仿宋" w:eastAsia="仿宋" w:cs="CESI仿宋-GB2312"/>
          <w:sz w:val="28"/>
          <w:szCs w:val="28"/>
        </w:rPr>
        <w:t>“奔跑吧·少年”赛事活动填报系统上线运行；</w:t>
      </w:r>
    </w:p>
    <w:p>
      <w:pPr>
        <w:numPr>
          <w:ilvl w:val="0"/>
          <w:numId w:val="11"/>
        </w:numPr>
        <w:spacing w:line="600" w:lineRule="exact"/>
        <w:rPr>
          <w:rFonts w:ascii="仿宋" w:hAnsi="仿宋" w:eastAsia="仿宋" w:cs="CESI仿宋-GB2312"/>
          <w:sz w:val="28"/>
          <w:szCs w:val="28"/>
        </w:rPr>
      </w:pPr>
      <w:r>
        <w:rPr>
          <w:rFonts w:hint="eastAsia" w:ascii="仿宋" w:hAnsi="仿宋" w:eastAsia="仿宋" w:cs="CESI仿宋-GB2312"/>
          <w:sz w:val="28"/>
          <w:szCs w:val="28"/>
        </w:rPr>
        <w:t>三大球运动会赛事信息系统（二期）上线运行；</w:t>
      </w:r>
    </w:p>
    <w:p>
      <w:pPr>
        <w:numPr>
          <w:ilvl w:val="0"/>
          <w:numId w:val="11"/>
        </w:numPr>
        <w:spacing w:line="600" w:lineRule="exact"/>
        <w:rPr>
          <w:rFonts w:ascii="仿宋" w:hAnsi="仿宋" w:eastAsia="仿宋" w:cs="CESI仿宋-GB2312"/>
          <w:sz w:val="28"/>
          <w:szCs w:val="28"/>
        </w:rPr>
      </w:pPr>
      <w:r>
        <w:rPr>
          <w:rFonts w:hint="eastAsia" w:ascii="仿宋" w:hAnsi="仿宋" w:eastAsia="仿宋" w:cs="CESI仿宋-GB2312"/>
          <w:sz w:val="28"/>
          <w:szCs w:val="28"/>
        </w:rPr>
        <w:t>体育基础数据统计填报系统上线运行；</w:t>
      </w:r>
    </w:p>
    <w:p>
      <w:pPr>
        <w:numPr>
          <w:ilvl w:val="0"/>
          <w:numId w:val="11"/>
        </w:numPr>
        <w:spacing w:line="600" w:lineRule="exact"/>
        <w:rPr>
          <w:rFonts w:ascii="仿宋" w:hAnsi="仿宋" w:eastAsia="仿宋" w:cs="CESI仿宋-GB2312"/>
          <w:sz w:val="28"/>
          <w:szCs w:val="28"/>
        </w:rPr>
      </w:pPr>
      <w:r>
        <w:rPr>
          <w:rFonts w:hint="eastAsia" w:ascii="仿宋" w:hAnsi="仿宋" w:eastAsia="仿宋" w:cs="CESI仿宋-GB2312"/>
          <w:sz w:val="28"/>
          <w:szCs w:val="28"/>
        </w:rPr>
        <w:t>完成各系统等保测评。</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2.</w:t>
      </w:r>
      <w:r>
        <w:rPr>
          <w:rFonts w:hint="eastAsia" w:ascii="仿宋" w:hAnsi="仿宋" w:eastAsia="仿宋" w:cs="CESI仿宋-GB2312"/>
          <w:sz w:val="28"/>
          <w:szCs w:val="28"/>
        </w:rPr>
        <w:t>项目组提交终验申请。</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3.</w:t>
      </w:r>
      <w:r>
        <w:rPr>
          <w:rFonts w:hint="eastAsia" w:ascii="仿宋" w:hAnsi="仿宋" w:eastAsia="仿宋" w:cs="CESI仿宋-GB2312"/>
          <w:sz w:val="28"/>
          <w:szCs w:val="28"/>
        </w:rPr>
        <w:t>项目验收负责人会同本项目监理（如有），按照“验收组织和程序”，主持项目终验工作。</w:t>
      </w:r>
    </w:p>
    <w:p>
      <w:pPr>
        <w:spacing w:line="600" w:lineRule="exact"/>
        <w:ind w:firstLine="560" w:firstLineChars="200"/>
        <w:rPr>
          <w:rFonts w:ascii="仿宋" w:hAnsi="仿宋" w:eastAsia="仿宋" w:cs="CESI仿宋-GB2312"/>
          <w:sz w:val="28"/>
          <w:szCs w:val="28"/>
        </w:rPr>
      </w:pPr>
      <w:r>
        <w:rPr>
          <w:rFonts w:ascii="仿宋" w:hAnsi="仿宋" w:eastAsia="仿宋" w:cs="CESI仿宋-GB2312"/>
          <w:sz w:val="28"/>
          <w:szCs w:val="28"/>
        </w:rPr>
        <w:t>4.</w:t>
      </w:r>
      <w:r>
        <w:rPr>
          <w:rFonts w:hint="eastAsia" w:ascii="仿宋" w:hAnsi="仿宋" w:eastAsia="仿宋" w:cs="CESI仿宋-GB2312"/>
          <w:sz w:val="28"/>
          <w:szCs w:val="28"/>
        </w:rPr>
        <w:t>终验时应提交相关交付物，经相关程序评审或审核通过。</w:t>
      </w:r>
    </w:p>
    <w:p>
      <w:pPr>
        <w:spacing w:line="600" w:lineRule="exact"/>
        <w:ind w:firstLine="562" w:firstLineChars="200"/>
        <w:rPr>
          <w:rFonts w:ascii="仿宋" w:hAnsi="仿宋" w:eastAsia="仿宋" w:cs="CESI仿宋-GB2312"/>
          <w:b/>
          <w:bCs/>
          <w:sz w:val="28"/>
          <w:szCs w:val="28"/>
        </w:rPr>
      </w:pPr>
      <w:r>
        <w:rPr>
          <w:rFonts w:hint="eastAsia" w:ascii="仿宋" w:hAnsi="仿宋" w:eastAsia="仿宋" w:cs="CESI仿宋-GB2312"/>
          <w:b/>
          <w:bCs/>
          <w:sz w:val="28"/>
          <w:szCs w:val="28"/>
        </w:rPr>
        <w:t>七</w:t>
      </w:r>
      <w:r>
        <w:rPr>
          <w:rFonts w:hint="eastAsia" w:ascii="仿宋" w:hAnsi="仿宋" w:eastAsia="仿宋" w:cs="CESI仿宋-GB2312"/>
          <w:sz w:val="28"/>
          <w:szCs w:val="28"/>
        </w:rPr>
        <w:t>、</w:t>
      </w:r>
      <w:r>
        <w:rPr>
          <w:rFonts w:hint="eastAsia" w:ascii="仿宋" w:hAnsi="仿宋" w:eastAsia="仿宋" w:cs="CESI仿宋-GB2312"/>
          <w:b/>
          <w:bCs/>
          <w:sz w:val="28"/>
          <w:szCs w:val="28"/>
        </w:rPr>
        <w:t>工期要求</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项目总工期</w:t>
      </w:r>
      <w:r>
        <w:rPr>
          <w:rFonts w:ascii="仿宋" w:hAnsi="仿宋" w:eastAsia="仿宋" w:cs="CESI仿宋-GB2312"/>
          <w:sz w:val="28"/>
          <w:szCs w:val="28"/>
        </w:rPr>
        <w:t>7</w:t>
      </w:r>
      <w:r>
        <w:rPr>
          <w:rFonts w:hint="eastAsia" w:ascii="仿宋" w:hAnsi="仿宋" w:eastAsia="仿宋" w:cs="CESI仿宋-GB2312"/>
          <w:sz w:val="28"/>
          <w:szCs w:val="28"/>
        </w:rPr>
        <w:t>个月（</w:t>
      </w:r>
      <w:r>
        <w:rPr>
          <w:rFonts w:ascii="仿宋" w:hAnsi="仿宋" w:eastAsia="仿宋" w:cs="CESI仿宋-GB2312"/>
          <w:sz w:val="28"/>
          <w:szCs w:val="28"/>
        </w:rPr>
        <w:t>2025</w:t>
      </w:r>
      <w:r>
        <w:rPr>
          <w:rFonts w:hint="eastAsia" w:ascii="仿宋" w:hAnsi="仿宋" w:eastAsia="仿宋" w:cs="CESI仿宋-GB2312"/>
          <w:sz w:val="28"/>
          <w:szCs w:val="28"/>
        </w:rPr>
        <w:t>年</w:t>
      </w:r>
      <w:r>
        <w:rPr>
          <w:rFonts w:ascii="仿宋" w:hAnsi="仿宋" w:eastAsia="仿宋" w:cs="CESI仿宋-GB2312"/>
          <w:sz w:val="28"/>
          <w:szCs w:val="28"/>
        </w:rPr>
        <w:t>6</w:t>
      </w:r>
      <w:r>
        <w:rPr>
          <w:rFonts w:hint="eastAsia" w:ascii="仿宋" w:hAnsi="仿宋" w:eastAsia="仿宋" w:cs="CESI仿宋-GB2312"/>
          <w:sz w:val="28"/>
          <w:szCs w:val="28"/>
        </w:rPr>
        <w:t>月至</w:t>
      </w:r>
      <w:r>
        <w:rPr>
          <w:rFonts w:ascii="仿宋" w:hAnsi="仿宋" w:eastAsia="仿宋" w:cs="CESI仿宋-GB2312"/>
          <w:sz w:val="28"/>
          <w:szCs w:val="28"/>
        </w:rPr>
        <w:t>2025</w:t>
      </w:r>
      <w:r>
        <w:rPr>
          <w:rFonts w:hint="eastAsia" w:ascii="仿宋" w:hAnsi="仿宋" w:eastAsia="仿宋" w:cs="CESI仿宋-GB2312"/>
          <w:sz w:val="28"/>
          <w:szCs w:val="28"/>
        </w:rPr>
        <w:t>年</w:t>
      </w:r>
      <w:r>
        <w:rPr>
          <w:rFonts w:ascii="仿宋" w:hAnsi="仿宋" w:eastAsia="仿宋" w:cs="CESI仿宋-GB2312"/>
          <w:sz w:val="28"/>
          <w:szCs w:val="28"/>
        </w:rPr>
        <w:t>12</w:t>
      </w:r>
      <w:r>
        <w:rPr>
          <w:rFonts w:hint="eastAsia" w:ascii="仿宋" w:hAnsi="仿宋" w:eastAsia="仿宋" w:cs="CESI仿宋-GB2312"/>
          <w:sz w:val="28"/>
          <w:szCs w:val="28"/>
        </w:rPr>
        <w:t>月），要求如下：</w:t>
      </w:r>
    </w:p>
    <w:tbl>
      <w:tblPr>
        <w:tblStyle w:val="29"/>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74"/>
        <w:gridCol w:w="5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566" w:type="pct"/>
            <w:vAlign w:val="center"/>
          </w:tcPr>
          <w:p>
            <w:pPr>
              <w:adjustRightInd w:val="0"/>
              <w:snapToGrid w:val="0"/>
              <w:spacing w:line="600" w:lineRule="exact"/>
              <w:ind w:firstLine="34"/>
              <w:jc w:val="center"/>
              <w:rPr>
                <w:rFonts w:ascii="仿宋" w:hAnsi="仿宋" w:eastAsia="仿宋" w:cs="CESI仿宋-GB2312"/>
                <w:b/>
                <w:bCs/>
                <w:sz w:val="28"/>
                <w:szCs w:val="28"/>
                <w:lang w:eastAsia="ar-SA"/>
              </w:rPr>
            </w:pPr>
            <w:r>
              <w:rPr>
                <w:rFonts w:hint="eastAsia" w:ascii="仿宋" w:hAnsi="仿宋" w:eastAsia="仿宋" w:cs="CESI仿宋-GB2312"/>
                <w:b/>
                <w:bCs/>
                <w:sz w:val="28"/>
                <w:szCs w:val="28"/>
                <w:lang w:eastAsia="ar-SA"/>
              </w:rPr>
              <w:t>序号</w:t>
            </w:r>
          </w:p>
        </w:tc>
        <w:tc>
          <w:tcPr>
            <w:tcW w:w="1165" w:type="pct"/>
            <w:vAlign w:val="center"/>
          </w:tcPr>
          <w:p>
            <w:pPr>
              <w:adjustRightInd w:val="0"/>
              <w:snapToGrid w:val="0"/>
              <w:spacing w:line="600" w:lineRule="exact"/>
              <w:ind w:firstLine="34"/>
              <w:jc w:val="center"/>
              <w:rPr>
                <w:rFonts w:ascii="仿宋" w:hAnsi="仿宋" w:eastAsia="仿宋" w:cs="CESI仿宋-GB2312"/>
                <w:b/>
                <w:bCs/>
                <w:sz w:val="28"/>
                <w:szCs w:val="28"/>
                <w:lang w:eastAsia="ar-SA"/>
              </w:rPr>
            </w:pPr>
            <w:r>
              <w:rPr>
                <w:rFonts w:hint="eastAsia" w:ascii="仿宋" w:hAnsi="仿宋" w:eastAsia="仿宋" w:cs="CESI仿宋-GB2312"/>
                <w:b/>
                <w:bCs/>
                <w:sz w:val="28"/>
                <w:szCs w:val="28"/>
                <w:lang w:eastAsia="ar-SA"/>
              </w:rPr>
              <w:t>时间要求</w:t>
            </w:r>
          </w:p>
        </w:tc>
        <w:tc>
          <w:tcPr>
            <w:tcW w:w="3269" w:type="pct"/>
            <w:vAlign w:val="center"/>
          </w:tcPr>
          <w:p>
            <w:pPr>
              <w:adjustRightInd w:val="0"/>
              <w:snapToGrid w:val="0"/>
              <w:spacing w:line="600" w:lineRule="exact"/>
              <w:ind w:firstLine="34"/>
              <w:jc w:val="center"/>
              <w:rPr>
                <w:rFonts w:ascii="仿宋" w:hAnsi="仿宋" w:eastAsia="仿宋" w:cs="CESI仿宋-GB2312"/>
                <w:b/>
                <w:bCs/>
                <w:sz w:val="28"/>
                <w:szCs w:val="28"/>
                <w:lang w:eastAsia="ar-SA"/>
              </w:rPr>
            </w:pPr>
            <w:r>
              <w:rPr>
                <w:rFonts w:hint="eastAsia" w:ascii="仿宋" w:hAnsi="仿宋" w:eastAsia="仿宋" w:cs="CESI仿宋-GB2312"/>
                <w:b/>
                <w:bCs/>
                <w:sz w:val="28"/>
                <w:szCs w:val="28"/>
                <w:lang w:eastAsia="ar-SA"/>
              </w:rPr>
              <w:t>阶段成果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6" w:type="pct"/>
            <w:vAlign w:val="center"/>
          </w:tcPr>
          <w:p>
            <w:pPr>
              <w:adjustRightInd w:val="0"/>
              <w:snapToGrid w:val="0"/>
              <w:spacing w:line="600" w:lineRule="exact"/>
              <w:ind w:left="29" w:leftChars="14" w:firstLine="1"/>
              <w:jc w:val="center"/>
              <w:rPr>
                <w:rFonts w:ascii="仿宋" w:hAnsi="仿宋" w:eastAsia="仿宋" w:cs="CESI仿宋-GB2312"/>
                <w:sz w:val="28"/>
                <w:szCs w:val="28"/>
                <w:lang w:eastAsia="ar-SA"/>
              </w:rPr>
            </w:pPr>
            <w:r>
              <w:rPr>
                <w:rFonts w:ascii="仿宋" w:hAnsi="仿宋" w:eastAsia="仿宋" w:cs="CESI仿宋-GB2312"/>
                <w:sz w:val="28"/>
                <w:szCs w:val="28"/>
                <w:lang w:eastAsia="ar-SA"/>
              </w:rPr>
              <w:t>1</w:t>
            </w:r>
          </w:p>
        </w:tc>
        <w:tc>
          <w:tcPr>
            <w:tcW w:w="1165" w:type="pct"/>
            <w:vAlign w:val="center"/>
          </w:tcPr>
          <w:p>
            <w:pPr>
              <w:adjustRightInd w:val="0"/>
              <w:snapToGrid w:val="0"/>
              <w:spacing w:line="600" w:lineRule="exact"/>
              <w:ind w:left="29" w:leftChars="14" w:firstLine="1"/>
              <w:jc w:val="center"/>
              <w:rPr>
                <w:rFonts w:ascii="仿宋" w:hAnsi="仿宋" w:eastAsia="仿宋" w:cs="CESI仿宋-GB2312"/>
                <w:sz w:val="28"/>
                <w:szCs w:val="28"/>
                <w:lang w:eastAsia="ar-SA"/>
              </w:rPr>
            </w:pPr>
            <w:r>
              <w:rPr>
                <w:rFonts w:ascii="仿宋" w:hAnsi="仿宋" w:eastAsia="仿宋" w:cs="CESI仿宋-GB2312"/>
                <w:sz w:val="28"/>
                <w:szCs w:val="28"/>
                <w:lang w:eastAsia="ar-SA"/>
              </w:rPr>
              <w:t>2025</w:t>
            </w:r>
            <w:r>
              <w:rPr>
                <w:rFonts w:hint="eastAsia" w:ascii="仿宋" w:hAnsi="仿宋" w:eastAsia="仿宋" w:cs="CESI仿宋-GB2312"/>
                <w:sz w:val="28"/>
                <w:szCs w:val="28"/>
                <w:lang w:eastAsia="ar-SA"/>
              </w:rPr>
              <w:t>年</w:t>
            </w:r>
            <w:r>
              <w:rPr>
                <w:rFonts w:ascii="仿宋" w:hAnsi="仿宋" w:eastAsia="仿宋" w:cs="CESI仿宋-GB2312"/>
                <w:sz w:val="28"/>
                <w:szCs w:val="28"/>
              </w:rPr>
              <w:t>6</w:t>
            </w:r>
            <w:r>
              <w:rPr>
                <w:rFonts w:hint="eastAsia" w:ascii="仿宋" w:hAnsi="仿宋" w:eastAsia="仿宋" w:cs="CESI仿宋-GB2312"/>
                <w:sz w:val="28"/>
                <w:szCs w:val="28"/>
                <w:lang w:eastAsia="ar-SA"/>
              </w:rPr>
              <w:t>月</w:t>
            </w:r>
          </w:p>
          <w:p>
            <w:pPr>
              <w:adjustRightInd w:val="0"/>
              <w:snapToGrid w:val="0"/>
              <w:spacing w:line="600" w:lineRule="exact"/>
              <w:ind w:left="29" w:leftChars="14" w:firstLine="1"/>
              <w:jc w:val="center"/>
              <w:rPr>
                <w:rFonts w:ascii="仿宋" w:hAnsi="仿宋" w:eastAsia="仿宋" w:cs="CESI仿宋-GB2312"/>
                <w:sz w:val="28"/>
                <w:szCs w:val="28"/>
                <w:lang w:eastAsia="ar-SA"/>
              </w:rPr>
            </w:pPr>
            <w:r>
              <w:rPr>
                <w:rFonts w:hint="eastAsia" w:ascii="仿宋" w:hAnsi="仿宋" w:eastAsia="仿宋" w:cs="CESI仿宋-GB2312"/>
                <w:sz w:val="28"/>
                <w:szCs w:val="28"/>
                <w:lang w:eastAsia="ar-SA"/>
              </w:rPr>
              <w:t>至</w:t>
            </w:r>
          </w:p>
          <w:p>
            <w:pPr>
              <w:adjustRightInd w:val="0"/>
              <w:snapToGrid w:val="0"/>
              <w:spacing w:line="600" w:lineRule="exact"/>
              <w:ind w:left="29" w:leftChars="14" w:firstLine="1"/>
              <w:jc w:val="center"/>
              <w:rPr>
                <w:rFonts w:ascii="仿宋" w:hAnsi="仿宋" w:eastAsia="仿宋" w:cs="CESI仿宋-GB2312"/>
                <w:sz w:val="28"/>
                <w:szCs w:val="28"/>
                <w:lang w:eastAsia="ar-SA"/>
              </w:rPr>
            </w:pPr>
            <w:r>
              <w:rPr>
                <w:rFonts w:ascii="仿宋" w:hAnsi="仿宋" w:eastAsia="仿宋" w:cs="CESI仿宋-GB2312"/>
                <w:sz w:val="28"/>
                <w:szCs w:val="28"/>
                <w:lang w:eastAsia="ar-SA"/>
              </w:rPr>
              <w:t>2025</w:t>
            </w:r>
            <w:r>
              <w:rPr>
                <w:rFonts w:hint="eastAsia" w:ascii="仿宋" w:hAnsi="仿宋" w:eastAsia="仿宋" w:cs="CESI仿宋-GB2312"/>
                <w:sz w:val="28"/>
                <w:szCs w:val="28"/>
                <w:lang w:eastAsia="ar-SA"/>
              </w:rPr>
              <w:t>年</w:t>
            </w:r>
            <w:r>
              <w:rPr>
                <w:rFonts w:ascii="仿宋" w:hAnsi="仿宋" w:eastAsia="仿宋" w:cs="CESI仿宋-GB2312"/>
                <w:sz w:val="28"/>
                <w:szCs w:val="28"/>
              </w:rPr>
              <w:t>9</w:t>
            </w:r>
            <w:r>
              <w:rPr>
                <w:rFonts w:hint="eastAsia" w:ascii="仿宋" w:hAnsi="仿宋" w:eastAsia="仿宋" w:cs="CESI仿宋-GB2312"/>
                <w:sz w:val="28"/>
                <w:szCs w:val="28"/>
                <w:lang w:eastAsia="ar-SA"/>
              </w:rPr>
              <w:t>月</w:t>
            </w:r>
          </w:p>
        </w:tc>
        <w:tc>
          <w:tcPr>
            <w:tcW w:w="3269" w:type="pct"/>
            <w:vAlign w:val="center"/>
          </w:tcPr>
          <w:p>
            <w:pPr>
              <w:adjustRightInd w:val="0"/>
              <w:snapToGrid w:val="0"/>
              <w:spacing w:line="600" w:lineRule="exact"/>
              <w:ind w:left="29" w:leftChars="14" w:firstLine="1"/>
              <w:jc w:val="left"/>
              <w:rPr>
                <w:rFonts w:ascii="仿宋" w:hAnsi="仿宋" w:eastAsia="仿宋" w:cs="CESI仿宋-GB2312"/>
                <w:sz w:val="28"/>
                <w:szCs w:val="28"/>
              </w:rPr>
            </w:pPr>
            <w:r>
              <w:rPr>
                <w:rFonts w:hint="eastAsia" w:ascii="仿宋" w:hAnsi="仿宋" w:eastAsia="仿宋" w:cs="CESI仿宋-GB2312"/>
                <w:sz w:val="28"/>
                <w:szCs w:val="28"/>
              </w:rPr>
              <w:t>“奔跑吧·少年”赛事活动填报系统、三大球运动会赛事信息系统（二期）、体育基础数据统计填报系统完成第三方测试。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6" w:type="pct"/>
            <w:vAlign w:val="center"/>
          </w:tcPr>
          <w:p>
            <w:pPr>
              <w:adjustRightInd w:val="0"/>
              <w:snapToGrid w:val="0"/>
              <w:spacing w:line="600" w:lineRule="exact"/>
              <w:ind w:left="29" w:leftChars="14" w:firstLine="1"/>
              <w:jc w:val="center"/>
              <w:rPr>
                <w:rFonts w:ascii="仿宋" w:hAnsi="仿宋" w:eastAsia="仿宋" w:cs="CESI仿宋-GB2312"/>
                <w:sz w:val="28"/>
                <w:szCs w:val="28"/>
                <w:lang w:eastAsia="ar-SA"/>
              </w:rPr>
            </w:pPr>
            <w:r>
              <w:rPr>
                <w:rFonts w:ascii="仿宋" w:hAnsi="仿宋" w:eastAsia="仿宋" w:cs="CESI仿宋-GB2312"/>
                <w:sz w:val="28"/>
                <w:szCs w:val="28"/>
                <w:lang w:eastAsia="ar-SA"/>
              </w:rPr>
              <w:t>2</w:t>
            </w:r>
          </w:p>
        </w:tc>
        <w:tc>
          <w:tcPr>
            <w:tcW w:w="1165" w:type="pct"/>
            <w:vAlign w:val="center"/>
          </w:tcPr>
          <w:p>
            <w:pPr>
              <w:adjustRightInd w:val="0"/>
              <w:snapToGrid w:val="0"/>
              <w:spacing w:line="600" w:lineRule="exact"/>
              <w:ind w:left="29" w:leftChars="14" w:firstLine="1"/>
              <w:jc w:val="center"/>
              <w:rPr>
                <w:rFonts w:ascii="仿宋" w:hAnsi="仿宋" w:eastAsia="仿宋" w:cs="CESI仿宋-GB2312"/>
                <w:sz w:val="28"/>
                <w:szCs w:val="28"/>
                <w:lang w:eastAsia="ar-SA"/>
              </w:rPr>
            </w:pPr>
            <w:r>
              <w:rPr>
                <w:rFonts w:ascii="仿宋" w:hAnsi="仿宋" w:eastAsia="仿宋" w:cs="CESI仿宋-GB2312"/>
                <w:sz w:val="28"/>
                <w:szCs w:val="28"/>
                <w:lang w:eastAsia="ar-SA"/>
              </w:rPr>
              <w:t>2025</w:t>
            </w:r>
            <w:r>
              <w:rPr>
                <w:rFonts w:hint="eastAsia" w:ascii="仿宋" w:hAnsi="仿宋" w:eastAsia="仿宋" w:cs="CESI仿宋-GB2312"/>
                <w:sz w:val="28"/>
                <w:szCs w:val="28"/>
                <w:lang w:eastAsia="ar-SA"/>
              </w:rPr>
              <w:t>年</w:t>
            </w:r>
            <w:r>
              <w:rPr>
                <w:rFonts w:ascii="仿宋" w:hAnsi="仿宋" w:eastAsia="仿宋" w:cs="CESI仿宋-GB2312"/>
                <w:sz w:val="28"/>
                <w:szCs w:val="28"/>
              </w:rPr>
              <w:t>10</w:t>
            </w:r>
            <w:r>
              <w:rPr>
                <w:rFonts w:hint="eastAsia" w:ascii="仿宋" w:hAnsi="仿宋" w:eastAsia="仿宋" w:cs="CESI仿宋-GB2312"/>
                <w:sz w:val="28"/>
                <w:szCs w:val="28"/>
                <w:lang w:eastAsia="ar-SA"/>
              </w:rPr>
              <w:t>月</w:t>
            </w:r>
          </w:p>
          <w:p>
            <w:pPr>
              <w:adjustRightInd w:val="0"/>
              <w:snapToGrid w:val="0"/>
              <w:spacing w:line="600" w:lineRule="exact"/>
              <w:ind w:left="29" w:leftChars="14" w:firstLine="1"/>
              <w:jc w:val="center"/>
              <w:rPr>
                <w:rFonts w:ascii="仿宋" w:hAnsi="仿宋" w:eastAsia="仿宋" w:cs="CESI仿宋-GB2312"/>
                <w:sz w:val="28"/>
                <w:szCs w:val="28"/>
                <w:lang w:eastAsia="ar-SA"/>
              </w:rPr>
            </w:pPr>
            <w:r>
              <w:rPr>
                <w:rFonts w:hint="eastAsia" w:ascii="仿宋" w:hAnsi="仿宋" w:eastAsia="仿宋" w:cs="CESI仿宋-GB2312"/>
                <w:sz w:val="28"/>
                <w:szCs w:val="28"/>
                <w:lang w:eastAsia="ar-SA"/>
              </w:rPr>
              <w:t>至</w:t>
            </w:r>
          </w:p>
          <w:p>
            <w:pPr>
              <w:adjustRightInd w:val="0"/>
              <w:snapToGrid w:val="0"/>
              <w:spacing w:line="600" w:lineRule="exact"/>
              <w:ind w:left="29" w:leftChars="14" w:firstLine="1"/>
              <w:jc w:val="center"/>
              <w:rPr>
                <w:rFonts w:ascii="仿宋" w:hAnsi="仿宋" w:eastAsia="仿宋" w:cs="CESI仿宋-GB2312"/>
                <w:sz w:val="28"/>
                <w:szCs w:val="28"/>
                <w:lang w:eastAsia="ar-SA"/>
              </w:rPr>
            </w:pPr>
            <w:r>
              <w:rPr>
                <w:rFonts w:ascii="仿宋" w:hAnsi="仿宋" w:eastAsia="仿宋" w:cs="CESI仿宋-GB2312"/>
                <w:sz w:val="28"/>
                <w:szCs w:val="28"/>
                <w:lang w:eastAsia="ar-SA"/>
              </w:rPr>
              <w:t>2025</w:t>
            </w:r>
            <w:r>
              <w:rPr>
                <w:rFonts w:hint="eastAsia" w:ascii="仿宋" w:hAnsi="仿宋" w:eastAsia="仿宋" w:cs="CESI仿宋-GB2312"/>
                <w:sz w:val="28"/>
                <w:szCs w:val="28"/>
                <w:lang w:eastAsia="ar-SA"/>
              </w:rPr>
              <w:t>年</w:t>
            </w:r>
            <w:r>
              <w:rPr>
                <w:rFonts w:ascii="仿宋" w:hAnsi="仿宋" w:eastAsia="仿宋" w:cs="CESI仿宋-GB2312"/>
                <w:sz w:val="28"/>
                <w:szCs w:val="28"/>
                <w:lang w:eastAsia="ar-SA"/>
              </w:rPr>
              <w:t>12</w:t>
            </w:r>
            <w:r>
              <w:rPr>
                <w:rFonts w:hint="eastAsia" w:ascii="仿宋" w:hAnsi="仿宋" w:eastAsia="仿宋" w:cs="CESI仿宋-GB2312"/>
                <w:sz w:val="28"/>
                <w:szCs w:val="28"/>
                <w:lang w:eastAsia="ar-SA"/>
              </w:rPr>
              <w:t>月</w:t>
            </w:r>
          </w:p>
        </w:tc>
        <w:tc>
          <w:tcPr>
            <w:tcW w:w="3269" w:type="pct"/>
            <w:vAlign w:val="center"/>
          </w:tcPr>
          <w:p>
            <w:pPr>
              <w:adjustRightInd w:val="0"/>
              <w:snapToGrid w:val="0"/>
              <w:spacing w:line="600" w:lineRule="exact"/>
              <w:ind w:left="29" w:leftChars="14" w:firstLine="1"/>
              <w:jc w:val="left"/>
              <w:rPr>
                <w:rFonts w:ascii="仿宋" w:hAnsi="仿宋" w:eastAsia="仿宋" w:cs="CESI仿宋-GB2312"/>
                <w:sz w:val="28"/>
                <w:szCs w:val="28"/>
              </w:rPr>
            </w:pPr>
            <w:r>
              <w:rPr>
                <w:rFonts w:hint="eastAsia" w:ascii="仿宋" w:hAnsi="仿宋" w:eastAsia="仿宋" w:cs="CESI仿宋-GB2312"/>
                <w:sz w:val="28"/>
                <w:szCs w:val="28"/>
              </w:rPr>
              <w:t>“奔跑吧·少年”赛事活动填报系统、三大球运动会赛事信息系统（二期）、体育基础数据统计填报系统</w:t>
            </w:r>
            <w:r>
              <w:rPr>
                <w:rFonts w:hint="eastAsia" w:ascii="仿宋" w:hAnsi="仿宋" w:eastAsia="仿宋" w:cs="CESI仿宋-GB2312"/>
                <w:kern w:val="0"/>
                <w:sz w:val="28"/>
                <w:szCs w:val="28"/>
              </w:rPr>
              <w:t>上线运行。</w:t>
            </w:r>
          </w:p>
        </w:tc>
      </w:tr>
    </w:tbl>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服务提供商必须严格按照工期要求组织实施，确保在规定的时间节点前完成。必要时，服务提供商应根据甲方要求对工期进行调整。</w:t>
      </w:r>
    </w:p>
    <w:p>
      <w:pPr>
        <w:spacing w:line="600" w:lineRule="exact"/>
        <w:ind w:firstLine="562" w:firstLineChars="200"/>
        <w:rPr>
          <w:rFonts w:ascii="仿宋" w:hAnsi="仿宋" w:eastAsia="仿宋" w:cs="CESI仿宋-GB2312"/>
          <w:b/>
          <w:bCs/>
          <w:sz w:val="28"/>
          <w:szCs w:val="28"/>
        </w:rPr>
      </w:pPr>
      <w:r>
        <w:rPr>
          <w:rFonts w:hint="eastAsia" w:ascii="仿宋" w:hAnsi="仿宋" w:eastAsia="仿宋" w:cs="CESI仿宋-GB2312"/>
          <w:b/>
          <w:bCs/>
          <w:sz w:val="28"/>
          <w:szCs w:val="28"/>
        </w:rPr>
        <w:t>八、服务费支付方式</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本项目采用“购买服务”方式支付服务费用。服务费按以下方式支付：</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w:t>
      </w:r>
      <w:r>
        <w:rPr>
          <w:rFonts w:ascii="仿宋" w:hAnsi="仿宋" w:eastAsia="仿宋" w:cs="CESI仿宋-GB2312"/>
          <w:sz w:val="28"/>
          <w:szCs w:val="28"/>
        </w:rPr>
        <w:t>1</w:t>
      </w:r>
      <w:r>
        <w:rPr>
          <w:rFonts w:hint="eastAsia" w:ascii="仿宋" w:hAnsi="仿宋" w:eastAsia="仿宋" w:cs="CESI仿宋-GB2312"/>
          <w:sz w:val="28"/>
          <w:szCs w:val="28"/>
        </w:rPr>
        <w:t>）合同签署生效后，在</w:t>
      </w:r>
      <w:r>
        <w:rPr>
          <w:rFonts w:ascii="仿宋" w:hAnsi="仿宋" w:eastAsia="仿宋" w:cs="CESI仿宋-GB2312"/>
          <w:sz w:val="28"/>
          <w:szCs w:val="28"/>
        </w:rPr>
        <w:t>15</w:t>
      </w:r>
      <w:r>
        <w:rPr>
          <w:rFonts w:hint="eastAsia" w:ascii="仿宋" w:hAnsi="仿宋" w:eastAsia="仿宋" w:cs="CESI仿宋-GB2312"/>
          <w:sz w:val="28"/>
          <w:szCs w:val="28"/>
        </w:rPr>
        <w:t>个工作日内支付合同总价的</w:t>
      </w:r>
      <w:r>
        <w:rPr>
          <w:rFonts w:ascii="仿宋" w:hAnsi="仿宋" w:eastAsia="仿宋" w:cs="CESI仿宋-GB2312"/>
          <w:sz w:val="28"/>
          <w:szCs w:val="28"/>
        </w:rPr>
        <w:t>40%</w:t>
      </w:r>
      <w:r>
        <w:rPr>
          <w:rFonts w:hint="eastAsia" w:ascii="仿宋" w:hAnsi="仿宋" w:eastAsia="仿宋" w:cs="CESI仿宋-GB2312"/>
          <w:sz w:val="28"/>
          <w:szCs w:val="28"/>
        </w:rPr>
        <w:t>；</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支付依据：项目合同。</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w:t>
      </w:r>
      <w:r>
        <w:rPr>
          <w:rFonts w:ascii="仿宋" w:hAnsi="仿宋" w:eastAsia="仿宋" w:cs="CESI仿宋-GB2312"/>
          <w:sz w:val="28"/>
          <w:szCs w:val="28"/>
        </w:rPr>
        <w:t>2</w:t>
      </w:r>
      <w:r>
        <w:rPr>
          <w:rFonts w:hint="eastAsia" w:ascii="仿宋" w:hAnsi="仿宋" w:eastAsia="仿宋" w:cs="CESI仿宋-GB2312"/>
          <w:sz w:val="28"/>
          <w:szCs w:val="28"/>
        </w:rPr>
        <w:t>）初验通过后，在</w:t>
      </w:r>
      <w:r>
        <w:rPr>
          <w:rFonts w:ascii="仿宋" w:hAnsi="仿宋" w:eastAsia="仿宋" w:cs="CESI仿宋-GB2312"/>
          <w:sz w:val="28"/>
          <w:szCs w:val="28"/>
        </w:rPr>
        <w:t>15</w:t>
      </w:r>
      <w:r>
        <w:rPr>
          <w:rFonts w:hint="eastAsia" w:ascii="仿宋" w:hAnsi="仿宋" w:eastAsia="仿宋" w:cs="CESI仿宋-GB2312"/>
          <w:sz w:val="28"/>
          <w:szCs w:val="28"/>
        </w:rPr>
        <w:t>个工作日内支付合同总价的</w:t>
      </w:r>
      <w:r>
        <w:rPr>
          <w:rFonts w:ascii="仿宋" w:hAnsi="仿宋" w:eastAsia="仿宋" w:cs="CESI仿宋-GB2312"/>
          <w:sz w:val="28"/>
          <w:szCs w:val="28"/>
        </w:rPr>
        <w:t>40%</w:t>
      </w:r>
      <w:r>
        <w:rPr>
          <w:rFonts w:hint="eastAsia" w:ascii="仿宋" w:hAnsi="仿宋" w:eastAsia="仿宋" w:cs="CESI仿宋-GB2312"/>
          <w:sz w:val="28"/>
          <w:szCs w:val="28"/>
        </w:rPr>
        <w:t>；</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支付依据：验收报告。</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w:t>
      </w:r>
      <w:r>
        <w:rPr>
          <w:rFonts w:ascii="仿宋" w:hAnsi="仿宋" w:eastAsia="仿宋" w:cs="CESI仿宋-GB2312"/>
          <w:sz w:val="28"/>
          <w:szCs w:val="28"/>
        </w:rPr>
        <w:t>3</w:t>
      </w:r>
      <w:r>
        <w:rPr>
          <w:rFonts w:hint="eastAsia" w:ascii="仿宋" w:hAnsi="仿宋" w:eastAsia="仿宋" w:cs="CESI仿宋-GB2312"/>
          <w:sz w:val="28"/>
          <w:szCs w:val="28"/>
        </w:rPr>
        <w:t>）终验通过后，在</w:t>
      </w:r>
      <w:r>
        <w:rPr>
          <w:rFonts w:ascii="仿宋" w:hAnsi="仿宋" w:eastAsia="仿宋" w:cs="CESI仿宋-GB2312"/>
          <w:sz w:val="28"/>
          <w:szCs w:val="28"/>
        </w:rPr>
        <w:t>15</w:t>
      </w:r>
      <w:r>
        <w:rPr>
          <w:rFonts w:hint="eastAsia" w:ascii="仿宋" w:hAnsi="仿宋" w:eastAsia="仿宋" w:cs="CESI仿宋-GB2312"/>
          <w:sz w:val="28"/>
          <w:szCs w:val="28"/>
        </w:rPr>
        <w:t>个工作日内支付合同总价的</w:t>
      </w:r>
      <w:r>
        <w:rPr>
          <w:rFonts w:ascii="仿宋" w:hAnsi="仿宋" w:eastAsia="仿宋" w:cs="CESI仿宋-GB2312"/>
          <w:sz w:val="28"/>
          <w:szCs w:val="28"/>
        </w:rPr>
        <w:t>20%</w:t>
      </w:r>
      <w:r>
        <w:rPr>
          <w:rFonts w:hint="eastAsia" w:ascii="仿宋" w:hAnsi="仿宋" w:eastAsia="仿宋" w:cs="CESI仿宋-GB2312"/>
          <w:sz w:val="28"/>
          <w:szCs w:val="28"/>
        </w:rPr>
        <w:t>。</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支付依据：验收报告。</w:t>
      </w:r>
    </w:p>
    <w:p>
      <w:pPr>
        <w:spacing w:line="600" w:lineRule="exact"/>
        <w:ind w:firstLine="562" w:firstLineChars="200"/>
        <w:rPr>
          <w:rFonts w:ascii="仿宋" w:hAnsi="仿宋" w:eastAsia="仿宋" w:cs="CESI仿宋-GB2312"/>
          <w:b/>
          <w:bCs/>
          <w:sz w:val="28"/>
          <w:szCs w:val="28"/>
        </w:rPr>
      </w:pPr>
      <w:r>
        <w:rPr>
          <w:rFonts w:hint="eastAsia" w:ascii="仿宋" w:hAnsi="仿宋" w:eastAsia="仿宋" w:cs="CESI仿宋-GB2312"/>
          <w:b/>
          <w:bCs/>
          <w:sz w:val="28"/>
          <w:szCs w:val="28"/>
        </w:rPr>
        <w:t>九、知识产权</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服务提供商提供的系统和服务必须具有合法手续及相关文件。如涉及知识产权则必须是自己拥有或合法使用的。因知识产权纠纷造成的损失由服务提供商负责。</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在服务期内产生的数据产权归属服务采购方所有。</w:t>
      </w:r>
    </w:p>
    <w:p>
      <w:pPr>
        <w:spacing w:line="600" w:lineRule="exact"/>
        <w:ind w:firstLine="562" w:firstLineChars="200"/>
        <w:rPr>
          <w:rFonts w:ascii="仿宋" w:hAnsi="仿宋" w:eastAsia="仿宋" w:cs="CESI仿宋-GB2312"/>
          <w:b/>
          <w:bCs/>
          <w:sz w:val="28"/>
          <w:szCs w:val="28"/>
        </w:rPr>
      </w:pPr>
      <w:r>
        <w:rPr>
          <w:rFonts w:hint="eastAsia" w:ascii="仿宋" w:hAnsi="仿宋" w:eastAsia="仿宋" w:cs="CESI仿宋-GB2312"/>
          <w:b/>
          <w:bCs/>
          <w:sz w:val="28"/>
          <w:szCs w:val="28"/>
        </w:rPr>
        <w:t>十、保密</w:t>
      </w:r>
    </w:p>
    <w:p>
      <w:pPr>
        <w:spacing w:line="600" w:lineRule="exact"/>
        <w:ind w:firstLine="560" w:firstLineChars="200"/>
        <w:rPr>
          <w:rFonts w:ascii="仿宋" w:hAnsi="仿宋" w:eastAsia="仿宋" w:cs="CESI仿宋-GB2312"/>
          <w:sz w:val="28"/>
          <w:szCs w:val="28"/>
        </w:rPr>
      </w:pPr>
      <w:r>
        <w:rPr>
          <w:rFonts w:hint="eastAsia" w:ascii="仿宋" w:hAnsi="仿宋" w:eastAsia="仿宋" w:cs="CESI仿宋-GB2312"/>
          <w:sz w:val="28"/>
          <w:szCs w:val="28"/>
        </w:rPr>
        <w:t>服务提供商在项目实施过程中都应按照国家安全、保密的有关规定和标准履行保密义务。服务提供商对项目实施中涉及的有关信息保密，未经委托单位许可，不得将相关信息泄露给第三方，否则，委托单位保留追究中标单位经济和法律责任的权利。</w:t>
      </w:r>
    </w:p>
    <w:p>
      <w:pPr>
        <w:widowControl/>
        <w:jc w:val="left"/>
        <w:rPr>
          <w:rFonts w:ascii="仿宋" w:hAnsi="仿宋" w:eastAsia="仿宋" w:cs="Arial"/>
          <w:b/>
          <w:bCs/>
          <w:sz w:val="32"/>
          <w:szCs w:val="32"/>
        </w:rPr>
      </w:pPr>
      <w:r>
        <w:rPr>
          <w:rFonts w:ascii="仿宋" w:hAnsi="仿宋" w:eastAsia="仿宋"/>
        </w:rPr>
        <w:br w:type="page"/>
      </w:r>
    </w:p>
    <w:bookmarkEnd w:id="1"/>
    <w:bookmarkEnd w:id="2"/>
    <w:bookmarkEnd w:id="3"/>
    <w:bookmarkEnd w:id="4"/>
    <w:bookmarkEnd w:id="5"/>
    <w:bookmarkEnd w:id="22"/>
    <w:bookmarkEnd w:id="23"/>
    <w:bookmarkEnd w:id="24"/>
    <w:p>
      <w:pPr>
        <w:pStyle w:val="71"/>
        <w:ind w:firstLine="420"/>
        <w:jc w:val="both"/>
        <w:rPr>
          <w:rFonts w:ascii="仿宋" w:hAnsi="方正仿宋_GBK" w:eastAsia="仿宋" w:cs="方正仿宋_GBK"/>
          <w:color w:val="000000" w:themeColor="text1"/>
          <w:sz w:val="28"/>
          <w14:textFill>
            <w14:solidFill>
              <w14:schemeClr w14:val="tx1"/>
            </w14:solidFill>
          </w14:textFill>
        </w:rPr>
      </w:pPr>
      <w:bookmarkStart w:id="29" w:name="_Toc121226010"/>
      <w:bookmarkStart w:id="30" w:name="_Toc1257197688"/>
    </w:p>
    <w:p>
      <w:pPr>
        <w:pStyle w:val="2"/>
        <w:rPr>
          <w:rFonts w:ascii="方正仿宋_GBK" w:hAnsi="方正仿宋_GBK" w:eastAsia="方正仿宋_GBK" w:cs="方正仿宋_GBK"/>
          <w:sz w:val="44"/>
          <w:szCs w:val="44"/>
        </w:rPr>
      </w:pPr>
      <w:bookmarkStart w:id="31" w:name="_Toc12344"/>
      <w:r>
        <w:rPr>
          <w:rFonts w:hint="eastAsia" w:ascii="方正仿宋_GBK" w:hAnsi="方正仿宋_GBK" w:eastAsia="方正仿宋_GBK" w:cs="方正仿宋_GBK"/>
          <w:color w:val="000000" w:themeColor="text1"/>
          <w:sz w:val="44"/>
          <w:szCs w:val="44"/>
          <w14:textFill>
            <w14:solidFill>
              <w14:schemeClr w14:val="tx1"/>
            </w14:solidFill>
          </w14:textFill>
        </w:rPr>
        <w:t xml:space="preserve">第五章  </w:t>
      </w:r>
      <w:bookmarkEnd w:id="29"/>
      <w:bookmarkStart w:id="32" w:name="_Toc121226011"/>
      <w:r>
        <w:rPr>
          <w:rFonts w:hint="eastAsia" w:ascii="方正仿宋_GBK" w:hAnsi="方正仿宋_GBK" w:eastAsia="方正仿宋_GBK" w:cs="方正仿宋_GBK"/>
          <w:sz w:val="44"/>
          <w:szCs w:val="44"/>
        </w:rPr>
        <w:t>采购合同（草稿）</w:t>
      </w:r>
      <w:bookmarkEnd w:id="30"/>
      <w:bookmarkEnd w:id="31"/>
    </w:p>
    <w:p>
      <w:pPr>
        <w:ind w:firstLine="7330" w:firstLineChars="3477"/>
        <w:rPr>
          <w:rFonts w:ascii="方正仿宋_GBK" w:hAnsi="方正仿宋_GBK" w:eastAsia="方正仿宋_GBK" w:cs="方正仿宋_GBK"/>
          <w:b/>
          <w:bCs/>
          <w:color w:val="000000"/>
        </w:rPr>
      </w:pPr>
      <w:r>
        <w:rPr>
          <w:rFonts w:hint="eastAsia" w:ascii="方正仿宋_GBK" w:hAnsi="方正仿宋_GBK" w:eastAsia="方正仿宋_GBK" w:cs="方正仿宋_GBK"/>
          <w:b/>
          <w:bCs/>
          <w:color w:val="000000"/>
        </w:rPr>
        <w:t>合同编号：</w:t>
      </w:r>
    </w:p>
    <w:p>
      <w:pPr>
        <w:spacing w:line="360" w:lineRule="auto"/>
        <w:jc w:val="center"/>
        <w:rPr>
          <w:rFonts w:ascii="宋体" w:hAnsi="宋体"/>
          <w:b/>
          <w:color w:val="000000"/>
          <w:sz w:val="44"/>
          <w:szCs w:val="44"/>
        </w:rPr>
      </w:pPr>
      <w:r>
        <w:rPr>
          <w:rFonts w:hint="eastAsia" w:ascii="宋体" w:hAnsi="宋体"/>
          <w:b/>
          <w:color w:val="000000"/>
          <w:sz w:val="44"/>
          <w:szCs w:val="44"/>
        </w:rPr>
        <w:t>采购服务合同</w:t>
      </w:r>
    </w:p>
    <w:p>
      <w:pPr>
        <w:adjustRightInd w:val="0"/>
        <w:snapToGrid w:val="0"/>
        <w:spacing w:line="360" w:lineRule="auto"/>
        <w:jc w:val="center"/>
        <w:rPr>
          <w:rFonts w:ascii="宋体" w:hAnsi="宋体"/>
          <w:b/>
          <w:color w:val="000000"/>
          <w:sz w:val="32"/>
          <w:szCs w:val="32"/>
        </w:rPr>
      </w:pPr>
    </w:p>
    <w:p>
      <w:pPr>
        <w:adjustRightInd w:val="0"/>
        <w:snapToGrid w:val="0"/>
        <w:spacing w:line="360" w:lineRule="auto"/>
        <w:jc w:val="center"/>
        <w:rPr>
          <w:rFonts w:ascii="宋体" w:hAnsi="宋体"/>
          <w:b/>
          <w:color w:val="000000"/>
          <w:sz w:val="32"/>
          <w:szCs w:val="32"/>
        </w:rPr>
      </w:pPr>
    </w:p>
    <w:p>
      <w:pPr>
        <w:adjustRightInd w:val="0"/>
        <w:snapToGrid w:val="0"/>
        <w:spacing w:line="360" w:lineRule="auto"/>
        <w:jc w:val="center"/>
        <w:rPr>
          <w:rFonts w:ascii="宋体" w:hAnsi="宋体"/>
          <w:b/>
          <w:color w:val="000000"/>
          <w:sz w:val="32"/>
          <w:szCs w:val="32"/>
        </w:rPr>
      </w:pPr>
    </w:p>
    <w:p>
      <w:pPr>
        <w:adjustRightInd w:val="0"/>
        <w:snapToGrid w:val="0"/>
        <w:spacing w:line="360" w:lineRule="auto"/>
        <w:jc w:val="center"/>
        <w:rPr>
          <w:rFonts w:ascii="宋体" w:hAnsi="宋体"/>
          <w:b/>
          <w:color w:val="000000"/>
          <w:sz w:val="32"/>
          <w:szCs w:val="32"/>
        </w:rPr>
      </w:pPr>
    </w:p>
    <w:p>
      <w:pPr>
        <w:adjustRightInd w:val="0"/>
        <w:snapToGrid w:val="0"/>
        <w:spacing w:line="360" w:lineRule="auto"/>
        <w:ind w:firstLine="1427" w:firstLineChars="446"/>
        <w:rPr>
          <w:rFonts w:ascii="宋体" w:hAnsi="宋体"/>
          <w:color w:val="000000"/>
          <w:sz w:val="32"/>
          <w:szCs w:val="32"/>
        </w:rPr>
      </w:pPr>
      <w:r>
        <w:rPr>
          <w:rFonts w:hint="eastAsia" w:ascii="宋体" w:hAnsi="宋体"/>
          <w:color w:val="000000"/>
          <w:sz w:val="32"/>
          <w:szCs w:val="32"/>
        </w:rPr>
        <w:t>采购人（甲方）：国家体育总局</w:t>
      </w:r>
    </w:p>
    <w:p>
      <w:pPr>
        <w:adjustRightInd w:val="0"/>
        <w:snapToGrid w:val="0"/>
        <w:spacing w:line="360" w:lineRule="auto"/>
        <w:ind w:firstLine="1440" w:firstLineChars="450"/>
        <w:rPr>
          <w:rFonts w:ascii="宋体" w:hAnsi="宋体"/>
          <w:color w:val="000000"/>
          <w:sz w:val="32"/>
          <w:szCs w:val="32"/>
          <w:u w:val="single"/>
        </w:rPr>
      </w:pPr>
      <w:r>
        <w:rPr>
          <w:rFonts w:hint="eastAsia" w:ascii="宋体" w:hAnsi="宋体"/>
          <w:color w:val="000000"/>
          <w:sz w:val="32"/>
          <w:szCs w:val="32"/>
        </w:rPr>
        <w:t>供应商（乙方）：</w:t>
      </w:r>
      <w:r>
        <w:rPr>
          <w:rFonts w:hint="eastAsia" w:ascii="宋体" w:hAnsi="宋体"/>
          <w:color w:val="000000"/>
          <w:sz w:val="32"/>
          <w:szCs w:val="32"/>
          <w:u w:val="single"/>
        </w:rPr>
        <w:t xml:space="preserve">                        </w:t>
      </w:r>
    </w:p>
    <w:p>
      <w:pPr>
        <w:snapToGrid w:val="0"/>
        <w:spacing w:line="360" w:lineRule="auto"/>
        <w:jc w:val="center"/>
        <w:rPr>
          <w:rFonts w:ascii="宋体" w:hAnsi="宋体"/>
          <w:color w:val="000000"/>
          <w:u w:val="singl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snapToGrid w:val="0"/>
        <w:spacing w:line="360" w:lineRule="auto"/>
        <w:jc w:val="center"/>
        <w:rPr>
          <w:rFonts w:ascii="宋体" w:hAnsi="宋体"/>
          <w:color w:val="000000"/>
          <w:u w:val="single"/>
        </w:rPr>
      </w:pPr>
    </w:p>
    <w:p>
      <w:pPr>
        <w:pStyle w:val="2"/>
        <w:snapToGrid w:val="0"/>
        <w:jc w:val="center"/>
        <w:rPr>
          <w:rFonts w:hint="eastAsia" w:ascii="宋体" w:hAnsi="宋体"/>
          <w:color w:val="000000"/>
          <w:u w:val="single"/>
        </w:rPr>
      </w:pPr>
    </w:p>
    <w:p>
      <w:pPr>
        <w:pStyle w:val="9"/>
        <w:spacing w:line="360" w:lineRule="auto"/>
        <w:ind w:firstLine="0"/>
        <w:jc w:val="center"/>
        <w:rPr>
          <w:rFonts w:ascii="宋体" w:hAnsi="宋体"/>
          <w:b/>
          <w:sz w:val="44"/>
          <w:szCs w:val="44"/>
        </w:rPr>
      </w:pPr>
      <w:r>
        <w:rPr>
          <w:rFonts w:hint="eastAsia" w:ascii="宋体" w:hAnsi="宋体"/>
          <w:b/>
          <w:sz w:val="44"/>
          <w:szCs w:val="44"/>
        </w:rPr>
        <w:t>【】项目委托服务合同</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r>
        <w:rPr>
          <w:rFonts w:hint="eastAsia" w:ascii="宋体" w:hAnsi="宋体"/>
          <w:b/>
          <w:sz w:val="24"/>
        </w:rPr>
        <w:t xml:space="preserve">甲方： </w:t>
      </w:r>
    </w:p>
    <w:p>
      <w:pPr>
        <w:adjustRightInd w:val="0"/>
        <w:snapToGrid w:val="0"/>
        <w:spacing w:line="360" w:lineRule="auto"/>
        <w:rPr>
          <w:rFonts w:ascii="宋体" w:hAnsi="宋体"/>
          <w:b/>
          <w:sz w:val="24"/>
        </w:rPr>
      </w:pPr>
      <w:r>
        <w:rPr>
          <w:rFonts w:ascii="宋体" w:hAnsi="宋体"/>
          <w:b/>
          <w:sz w:val="24"/>
        </w:rPr>
        <w:t>负责人</w:t>
      </w:r>
      <w:r>
        <w:rPr>
          <w:rFonts w:hint="eastAsia" w:ascii="宋体" w:hAnsi="宋体"/>
          <w:b/>
          <w:sz w:val="24"/>
        </w:rPr>
        <w:t xml:space="preserve">： </w:t>
      </w:r>
    </w:p>
    <w:p>
      <w:pPr>
        <w:adjustRightInd w:val="0"/>
        <w:snapToGrid w:val="0"/>
        <w:spacing w:line="360" w:lineRule="auto"/>
        <w:rPr>
          <w:rFonts w:ascii="宋体" w:hAnsi="宋体"/>
          <w:b/>
          <w:sz w:val="24"/>
        </w:rPr>
      </w:pPr>
      <w:r>
        <w:rPr>
          <w:rFonts w:hint="eastAsia" w:ascii="宋体" w:hAnsi="宋体"/>
          <w:b/>
          <w:sz w:val="24"/>
        </w:rPr>
        <w:t xml:space="preserve">地址： </w:t>
      </w:r>
    </w:p>
    <w:p>
      <w:pPr>
        <w:adjustRightInd w:val="0"/>
        <w:snapToGrid w:val="0"/>
        <w:spacing w:line="360" w:lineRule="auto"/>
        <w:rPr>
          <w:rFonts w:ascii="宋体" w:hAnsi="宋体"/>
          <w:b/>
          <w:sz w:val="24"/>
        </w:rPr>
      </w:pPr>
      <w:r>
        <w:rPr>
          <w:rFonts w:hint="eastAsia" w:ascii="宋体" w:hAnsi="宋体"/>
          <w:b/>
          <w:sz w:val="24"/>
        </w:rPr>
        <w:t>电话：</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r>
        <w:rPr>
          <w:rFonts w:hint="eastAsia" w:ascii="宋体" w:hAnsi="宋体"/>
          <w:b/>
          <w:sz w:val="24"/>
        </w:rPr>
        <w:t>乙方：</w:t>
      </w:r>
    </w:p>
    <w:p>
      <w:pPr>
        <w:adjustRightInd w:val="0"/>
        <w:snapToGrid w:val="0"/>
        <w:spacing w:line="360" w:lineRule="auto"/>
        <w:rPr>
          <w:rFonts w:ascii="宋体" w:hAnsi="宋体"/>
          <w:b/>
          <w:sz w:val="24"/>
        </w:rPr>
      </w:pPr>
      <w:r>
        <w:rPr>
          <w:rFonts w:ascii="宋体" w:hAnsi="宋体"/>
          <w:b/>
          <w:sz w:val="24"/>
        </w:rPr>
        <w:t>负责人</w:t>
      </w:r>
      <w:r>
        <w:rPr>
          <w:rFonts w:hint="eastAsia" w:ascii="宋体" w:hAnsi="宋体"/>
          <w:b/>
          <w:sz w:val="24"/>
        </w:rPr>
        <w:t>/法定代表人：</w:t>
      </w:r>
    </w:p>
    <w:p>
      <w:pPr>
        <w:adjustRightInd w:val="0"/>
        <w:snapToGrid w:val="0"/>
        <w:spacing w:line="360" w:lineRule="auto"/>
        <w:rPr>
          <w:rFonts w:ascii="宋体" w:hAnsi="宋体"/>
          <w:b/>
          <w:sz w:val="24"/>
        </w:rPr>
      </w:pPr>
      <w:r>
        <w:rPr>
          <w:rFonts w:hint="eastAsia" w:ascii="宋体" w:hAnsi="宋体"/>
          <w:b/>
          <w:sz w:val="24"/>
        </w:rPr>
        <w:t>地址：</w:t>
      </w:r>
    </w:p>
    <w:p>
      <w:pPr>
        <w:adjustRightInd w:val="0"/>
        <w:snapToGrid w:val="0"/>
        <w:spacing w:line="360" w:lineRule="auto"/>
        <w:rPr>
          <w:rFonts w:ascii="宋体" w:hAnsi="宋体"/>
          <w:b/>
          <w:sz w:val="24"/>
        </w:rPr>
      </w:pPr>
      <w:r>
        <w:rPr>
          <w:rFonts w:hint="eastAsia" w:ascii="宋体" w:hAnsi="宋体"/>
          <w:b/>
          <w:sz w:val="24"/>
        </w:rPr>
        <w:t>电话：</w:t>
      </w:r>
    </w:p>
    <w:p>
      <w:pPr>
        <w:spacing w:line="360" w:lineRule="auto"/>
        <w:ind w:left="136" w:leftChars="65" w:firstLine="360" w:firstLineChars="150"/>
        <w:rPr>
          <w:rFonts w:ascii="宋体" w:hAnsi="宋体"/>
          <w:sz w:val="24"/>
        </w:rPr>
      </w:pPr>
    </w:p>
    <w:p>
      <w:pPr>
        <w:adjustRightInd w:val="0"/>
        <w:snapToGrid w:val="0"/>
        <w:spacing w:line="360" w:lineRule="auto"/>
        <w:ind w:firstLine="480" w:firstLineChars="200"/>
        <w:contextualSpacing/>
        <w:rPr>
          <w:rFonts w:ascii="宋体" w:hAnsi="宋体"/>
          <w:sz w:val="24"/>
        </w:rPr>
      </w:pPr>
      <w:r>
        <w:rPr>
          <w:rFonts w:hint="eastAsia" w:ascii="宋体" w:hAnsi="宋体"/>
          <w:sz w:val="24"/>
        </w:rPr>
        <w:t>根据《中华人民共和国民法典》及相关法律法规的规定，经甲乙双方友好协商，就</w:t>
      </w:r>
      <w:r>
        <w:rPr>
          <w:rFonts w:hint="eastAsia" w:ascii="宋体" w:hAnsi="宋体"/>
          <w:sz w:val="24"/>
          <w:u w:val="single"/>
        </w:rPr>
        <w:t xml:space="preserve">                  </w:t>
      </w:r>
      <w:r>
        <w:rPr>
          <w:rFonts w:hint="eastAsia" w:ascii="宋体" w:hAnsi="宋体"/>
          <w:sz w:val="24"/>
        </w:rPr>
        <w:t>项目提供服务事宜，签署本合同，以资共同遵守。</w:t>
      </w:r>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委托服务内容</w:t>
      </w:r>
    </w:p>
    <w:p>
      <w:pPr>
        <w:adjustRightInd w:val="0"/>
        <w:snapToGrid w:val="0"/>
        <w:spacing w:line="360" w:lineRule="auto"/>
        <w:ind w:firstLine="480" w:firstLineChars="200"/>
        <w:contextualSpacing/>
        <w:outlineLvl w:val="9"/>
        <w:rPr>
          <w:rFonts w:ascii="宋体" w:hAnsi="宋体"/>
          <w:sz w:val="24"/>
        </w:rPr>
      </w:pPr>
      <w:r>
        <w:rPr>
          <w:rFonts w:hint="eastAsia" w:ascii="宋体" w:hAnsi="宋体"/>
          <w:sz w:val="24"/>
        </w:rPr>
        <w:t>本合同约定的有效期内，甲方将</w:t>
      </w:r>
      <w:r>
        <w:rPr>
          <w:rFonts w:hint="eastAsia" w:ascii="宋体" w:hAnsi="宋体"/>
          <w:sz w:val="24"/>
          <w:u w:val="single"/>
        </w:rPr>
        <w:t xml:space="preserve">            </w:t>
      </w:r>
      <w:r>
        <w:rPr>
          <w:rFonts w:hint="eastAsia" w:ascii="宋体" w:hAnsi="宋体"/>
          <w:sz w:val="24"/>
        </w:rPr>
        <w:t>项目（以下简称：“项目”）委托乙方实施，具体服务内容如下:</w:t>
      </w:r>
    </w:p>
    <w:p>
      <w:pPr>
        <w:numPr>
          <w:ilvl w:val="0"/>
          <w:numId w:val="13"/>
        </w:numPr>
        <w:adjustRightInd w:val="0"/>
        <w:snapToGrid w:val="0"/>
        <w:spacing w:line="360" w:lineRule="auto"/>
        <w:ind w:left="0" w:firstLine="480" w:firstLineChars="200"/>
        <w:contextualSpacing/>
        <w:outlineLvl w:val="0"/>
        <w:rPr>
          <w:rFonts w:ascii="宋体" w:hAnsi="宋体"/>
          <w:sz w:val="24"/>
        </w:rPr>
      </w:pPr>
      <w:r>
        <w:rPr>
          <w:rFonts w:hint="eastAsia" w:ascii="宋体" w:hAnsi="宋体"/>
          <w:sz w:val="24"/>
          <w:u w:val="single"/>
        </w:rPr>
        <w:t xml:space="preserve">                                                  </w:t>
      </w:r>
      <w:bookmarkStart w:id="33" w:name="_Toc1866"/>
      <w:r>
        <w:rPr>
          <w:rFonts w:hint="eastAsia" w:ascii="宋体" w:hAnsi="宋体"/>
          <w:sz w:val="24"/>
        </w:rPr>
        <w:t>；</w:t>
      </w:r>
      <w:bookmarkEnd w:id="33"/>
    </w:p>
    <w:p>
      <w:pPr>
        <w:numPr>
          <w:ilvl w:val="0"/>
          <w:numId w:val="13"/>
        </w:numPr>
        <w:adjustRightInd w:val="0"/>
        <w:snapToGrid w:val="0"/>
        <w:spacing w:line="360" w:lineRule="auto"/>
        <w:ind w:left="0" w:firstLine="480" w:firstLineChars="200"/>
        <w:contextualSpacing/>
        <w:outlineLvl w:val="0"/>
        <w:rPr>
          <w:rFonts w:ascii="宋体" w:hAnsi="宋体"/>
          <w:sz w:val="24"/>
        </w:rPr>
      </w:pPr>
      <w:r>
        <w:rPr>
          <w:rFonts w:hint="eastAsia" w:ascii="宋体" w:hAnsi="宋体"/>
          <w:sz w:val="24"/>
          <w:u w:val="single"/>
        </w:rPr>
        <w:t xml:space="preserve">                                                 </w:t>
      </w:r>
      <w:bookmarkStart w:id="34" w:name="_Toc28345"/>
      <w:bookmarkEnd w:id="34"/>
    </w:p>
    <w:p>
      <w:pPr>
        <w:numPr>
          <w:ilvl w:val="0"/>
          <w:numId w:val="13"/>
        </w:numPr>
        <w:adjustRightInd w:val="0"/>
        <w:snapToGrid w:val="0"/>
        <w:spacing w:line="360" w:lineRule="auto"/>
        <w:ind w:left="0" w:firstLine="480" w:firstLineChars="200"/>
        <w:contextualSpacing/>
        <w:outlineLvl w:val="0"/>
        <w:rPr>
          <w:rFonts w:ascii="宋体" w:hAnsi="宋体"/>
          <w:sz w:val="24"/>
        </w:rPr>
      </w:pPr>
      <w:r>
        <w:rPr>
          <w:rFonts w:hint="eastAsia" w:ascii="宋体" w:hAnsi="宋体"/>
          <w:sz w:val="24"/>
          <w:u w:val="single"/>
        </w:rPr>
        <w:t xml:space="preserve">                                                 </w:t>
      </w:r>
      <w:bookmarkStart w:id="35" w:name="_Toc10028"/>
      <w:bookmarkEnd w:id="35"/>
    </w:p>
    <w:p>
      <w:pPr>
        <w:numPr>
          <w:ilvl w:val="0"/>
          <w:numId w:val="13"/>
        </w:numPr>
        <w:adjustRightInd w:val="0"/>
        <w:snapToGrid w:val="0"/>
        <w:spacing w:line="360" w:lineRule="auto"/>
        <w:ind w:left="0" w:firstLine="480" w:firstLineChars="200"/>
        <w:contextualSpacing/>
        <w:outlineLvl w:val="0"/>
        <w:rPr>
          <w:rFonts w:ascii="宋体" w:hAnsi="宋体"/>
          <w:sz w:val="24"/>
        </w:rPr>
      </w:pPr>
      <w:r>
        <w:rPr>
          <w:rFonts w:hint="eastAsia" w:ascii="宋体" w:hAnsi="宋体"/>
          <w:sz w:val="24"/>
          <w:u w:val="single"/>
        </w:rPr>
        <w:t xml:space="preserve">                                                 </w:t>
      </w:r>
      <w:bookmarkStart w:id="36" w:name="_Toc21379"/>
      <w:bookmarkEnd w:id="36"/>
    </w:p>
    <w:p>
      <w:pPr>
        <w:numPr>
          <w:ilvl w:val="0"/>
          <w:numId w:val="13"/>
        </w:numPr>
        <w:adjustRightInd w:val="0"/>
        <w:snapToGrid w:val="0"/>
        <w:spacing w:line="360" w:lineRule="auto"/>
        <w:ind w:left="0" w:firstLine="480" w:firstLineChars="200"/>
        <w:contextualSpacing/>
        <w:outlineLvl w:val="0"/>
        <w:rPr>
          <w:rFonts w:ascii="宋体" w:hAnsi="宋体"/>
          <w:sz w:val="24"/>
        </w:rPr>
      </w:pPr>
      <w:r>
        <w:rPr>
          <w:rFonts w:hint="eastAsia" w:ascii="宋体" w:hAnsi="宋体"/>
          <w:sz w:val="24"/>
          <w:u w:val="single"/>
        </w:rPr>
        <w:t xml:space="preserve">                                                 </w:t>
      </w:r>
      <w:bookmarkStart w:id="37" w:name="_Toc10139"/>
      <w:bookmarkEnd w:id="37"/>
    </w:p>
    <w:p>
      <w:pPr>
        <w:numPr>
          <w:ilvl w:val="0"/>
          <w:numId w:val="13"/>
        </w:numPr>
        <w:adjustRightInd w:val="0"/>
        <w:snapToGrid w:val="0"/>
        <w:spacing w:line="360" w:lineRule="auto"/>
        <w:ind w:left="0" w:firstLine="480" w:firstLineChars="200"/>
        <w:contextualSpacing/>
        <w:outlineLvl w:val="0"/>
        <w:rPr>
          <w:rFonts w:ascii="宋体" w:hAnsi="宋体"/>
          <w:sz w:val="24"/>
        </w:rPr>
      </w:pPr>
      <w:r>
        <w:rPr>
          <w:rFonts w:hint="eastAsia" w:ascii="宋体" w:hAnsi="宋体"/>
          <w:sz w:val="24"/>
          <w:u w:val="single"/>
        </w:rPr>
        <w:t xml:space="preserve">                                                 </w:t>
      </w:r>
      <w:bookmarkStart w:id="38" w:name="_Toc20841"/>
      <w:bookmarkEnd w:id="38"/>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项目实施方案提交</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1.乙方应于本合同签订后的</w:t>
      </w:r>
      <w:r>
        <w:rPr>
          <w:rFonts w:hint="eastAsia" w:ascii="宋体" w:hAnsi="宋体"/>
          <w:sz w:val="24"/>
          <w:u w:val="single"/>
        </w:rPr>
        <w:t>【】</w:t>
      </w:r>
      <w:r>
        <w:rPr>
          <w:rFonts w:hint="eastAsia" w:ascii="宋体" w:hAnsi="宋体"/>
          <w:sz w:val="24"/>
        </w:rPr>
        <w:t>日内根据项目服务内容，制定项目落地实施的具体方案（包括项目介绍、项目成员、项目进度安排、项目服务方式等），经甲方书面确认后实施。</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2.甲方确认的项目实施方案为本合同不可分割的一部分，与本合同具有同等的法律效力。</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3.乙方应严格按照甲方确认的项目实施方案开展服务工作，如有变更，应提前3日书面通知甲方，并征得甲方书面同意。</w:t>
      </w:r>
      <w:r>
        <w:rPr>
          <w:rFonts w:ascii="宋体" w:hAnsi="宋体"/>
          <w:sz w:val="24"/>
        </w:rPr>
        <w:t xml:space="preserve"> </w:t>
      </w:r>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委托服务期限</w:t>
      </w:r>
    </w:p>
    <w:p>
      <w:pPr>
        <w:snapToGrid w:val="0"/>
        <w:spacing w:line="360" w:lineRule="auto"/>
        <w:ind w:firstLine="360" w:firstLineChars="150"/>
        <w:rPr>
          <w:rFonts w:ascii="宋体" w:hAnsi="宋体"/>
          <w:sz w:val="24"/>
        </w:rPr>
      </w:pPr>
      <w:r>
        <w:rPr>
          <w:rFonts w:hint="eastAsia" w:ascii="宋体" w:hAnsi="宋体"/>
          <w:sz w:val="24"/>
        </w:rPr>
        <w:t xml:space="preserve">乙方为甲方提供本合同服务的起止时间为：       年 </w:t>
      </w:r>
      <w:r>
        <w:rPr>
          <w:rFonts w:ascii="宋体" w:hAnsi="宋体"/>
          <w:sz w:val="24"/>
        </w:rPr>
        <w:t xml:space="preserve">  </w:t>
      </w:r>
      <w:r>
        <w:rPr>
          <w:rFonts w:hint="eastAsia" w:ascii="宋体" w:hAnsi="宋体"/>
          <w:sz w:val="24"/>
        </w:rPr>
        <w:t xml:space="preserve">月    日起至    年 </w:t>
      </w:r>
      <w:r>
        <w:rPr>
          <w:rFonts w:ascii="宋体" w:hAnsi="宋体"/>
          <w:sz w:val="24"/>
        </w:rPr>
        <w:t xml:space="preserve">   </w:t>
      </w:r>
      <w:r>
        <w:rPr>
          <w:rFonts w:hint="eastAsia" w:ascii="宋体" w:hAnsi="宋体"/>
          <w:sz w:val="24"/>
        </w:rPr>
        <w:t>月    日止。</w:t>
      </w:r>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委托服务费及支付方式</w:t>
      </w:r>
    </w:p>
    <w:p>
      <w:pPr>
        <w:tabs>
          <w:tab w:val="left" w:pos="851"/>
        </w:tabs>
        <w:adjustRightInd w:val="0"/>
        <w:snapToGrid w:val="0"/>
        <w:spacing w:line="360" w:lineRule="auto"/>
        <w:ind w:firstLine="480" w:firstLineChars="200"/>
        <w:contextualSpacing/>
        <w:rPr>
          <w:rFonts w:ascii="宋体" w:hAnsi="宋体"/>
          <w:sz w:val="24"/>
        </w:rPr>
      </w:pPr>
      <w:r>
        <w:rPr>
          <w:rFonts w:hint="eastAsia" w:ascii="宋体" w:hAnsi="宋体"/>
          <w:sz w:val="24"/>
        </w:rPr>
        <w:t>1.本合同总价款为：￥</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元整），此价款为本合同约定服务完成并经甲方验收合格后的含税价款，具体服务项目及费用标准详见附件。</w:t>
      </w:r>
    </w:p>
    <w:p>
      <w:pPr>
        <w:snapToGrid w:val="0"/>
        <w:spacing w:line="360" w:lineRule="auto"/>
        <w:ind w:left="482"/>
        <w:rPr>
          <w:rFonts w:ascii="宋体" w:hAnsi="宋体"/>
          <w:bCs/>
          <w:sz w:val="24"/>
        </w:rPr>
      </w:pPr>
      <w:r>
        <w:rPr>
          <w:rFonts w:hint="eastAsia" w:ascii="宋体" w:hAnsi="宋体"/>
          <w:bCs/>
          <w:sz w:val="24"/>
        </w:rPr>
        <w:t>2.甲方按以下第【】种方式向乙方支付项目服务费用：</w:t>
      </w:r>
    </w:p>
    <w:p>
      <w:pPr>
        <w:snapToGrid w:val="0"/>
        <w:spacing w:line="360" w:lineRule="auto"/>
        <w:ind w:firstLine="480" w:firstLineChars="200"/>
        <w:rPr>
          <w:rFonts w:ascii="宋体" w:hAnsi="宋体"/>
          <w:bCs/>
          <w:sz w:val="24"/>
        </w:rPr>
      </w:pPr>
      <w:r>
        <w:rPr>
          <w:rFonts w:hint="eastAsia" w:ascii="宋体" w:hAnsi="宋体"/>
          <w:bCs/>
          <w:sz w:val="24"/>
        </w:rPr>
        <w:t>（1）本合同签订之日起【】日内，甲方一次性支付项目服务费人民币【】元整；</w:t>
      </w:r>
    </w:p>
    <w:p>
      <w:pPr>
        <w:snapToGrid w:val="0"/>
        <w:spacing w:line="360" w:lineRule="auto"/>
        <w:ind w:firstLine="480" w:firstLineChars="200"/>
        <w:rPr>
          <w:rFonts w:ascii="宋体" w:hAnsi="宋体"/>
          <w:bCs/>
          <w:sz w:val="24"/>
        </w:rPr>
      </w:pPr>
      <w:r>
        <w:rPr>
          <w:rFonts w:hint="eastAsia" w:ascii="宋体" w:hAnsi="宋体"/>
          <w:bCs/>
          <w:sz w:val="24"/>
        </w:rPr>
        <w:t xml:space="preserve">（2）本合同签订之日起【】日内，甲方支付项目服务费总额的【 </w:t>
      </w:r>
      <w:r>
        <w:rPr>
          <w:rFonts w:ascii="宋体" w:hAnsi="宋体"/>
          <w:bCs/>
          <w:sz w:val="24"/>
        </w:rPr>
        <w:t xml:space="preserve"> </w:t>
      </w:r>
      <w:r>
        <w:rPr>
          <w:rFonts w:hint="eastAsia" w:ascii="宋体" w:hAnsi="宋体"/>
          <w:bCs/>
          <w:sz w:val="24"/>
        </w:rPr>
        <w:t xml:space="preserve"> %】，即人民币【】元整；项目服务全部完成经甲方验收合格后的【】日内，甲方支付剩余项目服务费，即人民币【】元整。</w:t>
      </w:r>
    </w:p>
    <w:p>
      <w:pPr>
        <w:snapToGrid w:val="0"/>
        <w:spacing w:line="360" w:lineRule="auto"/>
        <w:ind w:left="141" w:leftChars="67" w:firstLine="338" w:firstLineChars="141"/>
        <w:rPr>
          <w:rFonts w:ascii="宋体" w:hAnsi="宋体"/>
          <w:bCs/>
          <w:sz w:val="24"/>
        </w:rPr>
      </w:pPr>
      <w:r>
        <w:rPr>
          <w:rFonts w:hint="eastAsia" w:ascii="宋体" w:hAnsi="宋体"/>
          <w:bCs/>
          <w:sz w:val="24"/>
        </w:rPr>
        <w:t>（3）项目服务全部完成且经甲方验收合格后的【】日内甲方一次性支付项目服务费人民币【】元整。</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.乙方应在甲方付款前向甲方开具正式发票，否则甲方有权暂停付款且不承担逾期付款的违约责任。</w:t>
      </w:r>
    </w:p>
    <w:p>
      <w:pPr>
        <w:snapToGrid w:val="0"/>
        <w:spacing w:line="360" w:lineRule="auto"/>
        <w:ind w:left="482"/>
        <w:rPr>
          <w:rFonts w:ascii="宋体" w:hAnsi="宋体"/>
          <w:sz w:val="24"/>
        </w:rPr>
      </w:pPr>
      <w:r>
        <w:rPr>
          <w:rFonts w:hint="eastAsia" w:ascii="宋体" w:hAnsi="宋体"/>
          <w:sz w:val="24"/>
        </w:rPr>
        <w:t>甲方开票信息：</w:t>
      </w:r>
    </w:p>
    <w:p>
      <w:pPr>
        <w:snapToGrid w:val="0"/>
        <w:spacing w:line="360" w:lineRule="auto"/>
        <w:ind w:left="482"/>
        <w:rPr>
          <w:rFonts w:ascii="宋体" w:hAnsi="宋体"/>
          <w:sz w:val="24"/>
        </w:rPr>
      </w:pPr>
      <w:r>
        <w:rPr>
          <w:rFonts w:hint="eastAsia" w:ascii="宋体" w:hAnsi="宋体"/>
          <w:sz w:val="24"/>
        </w:rPr>
        <w:t>发票抬头：国家体育总局</w:t>
      </w:r>
    </w:p>
    <w:p>
      <w:pPr>
        <w:snapToGrid w:val="0"/>
        <w:spacing w:line="360" w:lineRule="auto"/>
        <w:ind w:left="482"/>
        <w:rPr>
          <w:rFonts w:ascii="宋体" w:hAnsi="宋体"/>
          <w:sz w:val="24"/>
        </w:rPr>
      </w:pPr>
      <w:r>
        <w:rPr>
          <w:rFonts w:hint="eastAsia" w:ascii="宋体" w:hAnsi="宋体"/>
          <w:sz w:val="24"/>
        </w:rPr>
        <w:t>纳税人识别号：1110 0000 0000 1362 90</w:t>
      </w:r>
    </w:p>
    <w:p>
      <w:pPr>
        <w:snapToGrid w:val="0"/>
        <w:spacing w:line="360" w:lineRule="auto"/>
        <w:ind w:left="482"/>
        <w:rPr>
          <w:rFonts w:ascii="宋体" w:hAnsi="宋体"/>
          <w:sz w:val="24"/>
        </w:rPr>
      </w:pPr>
      <w:r>
        <w:rPr>
          <w:rFonts w:hint="eastAsia" w:ascii="宋体" w:hAnsi="宋体"/>
          <w:sz w:val="24"/>
        </w:rPr>
        <w:t>4.乙方指定银行账户信息：</w:t>
      </w:r>
    </w:p>
    <w:p>
      <w:pPr>
        <w:snapToGrid w:val="0"/>
        <w:spacing w:line="360" w:lineRule="auto"/>
        <w:ind w:left="482"/>
        <w:rPr>
          <w:rFonts w:ascii="宋体" w:hAnsi="宋体"/>
          <w:sz w:val="24"/>
        </w:rPr>
      </w:pPr>
      <w:r>
        <w:rPr>
          <w:rFonts w:hint="eastAsia" w:ascii="宋体" w:hAnsi="宋体"/>
          <w:sz w:val="24"/>
        </w:rPr>
        <w:t>开户银行：</w:t>
      </w:r>
    </w:p>
    <w:p>
      <w:pPr>
        <w:snapToGrid w:val="0"/>
        <w:spacing w:line="360" w:lineRule="auto"/>
        <w:ind w:left="482"/>
        <w:rPr>
          <w:rFonts w:ascii="宋体" w:hAnsi="宋体"/>
          <w:sz w:val="24"/>
        </w:rPr>
      </w:pPr>
      <w:r>
        <w:rPr>
          <w:rFonts w:hint="eastAsia" w:ascii="宋体" w:hAnsi="宋体"/>
          <w:sz w:val="24"/>
        </w:rPr>
        <w:t>开户名称：</w:t>
      </w:r>
    </w:p>
    <w:p>
      <w:pPr>
        <w:snapToGrid w:val="0"/>
        <w:spacing w:line="360" w:lineRule="auto"/>
        <w:ind w:left="482"/>
        <w:rPr>
          <w:rFonts w:ascii="宋体" w:hAnsi="宋体"/>
          <w:sz w:val="24"/>
        </w:rPr>
      </w:pPr>
      <w:r>
        <w:rPr>
          <w:rFonts w:hint="eastAsia" w:ascii="宋体" w:hAnsi="宋体"/>
          <w:sz w:val="24"/>
        </w:rPr>
        <w:t>银行账号：</w:t>
      </w:r>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双方的权利和义务</w:t>
      </w:r>
    </w:p>
    <w:p>
      <w:pPr>
        <w:tabs>
          <w:tab w:val="left" w:pos="851"/>
          <w:tab w:val="left" w:pos="1134"/>
          <w:tab w:val="left" w:pos="1276"/>
        </w:tabs>
        <w:adjustRightInd w:val="0"/>
        <w:snapToGrid w:val="0"/>
        <w:spacing w:line="360" w:lineRule="auto"/>
        <w:ind w:firstLine="480" w:firstLineChars="200"/>
        <w:contextualSpacing/>
        <w:rPr>
          <w:rFonts w:ascii="宋体" w:hAnsi="宋体"/>
          <w:sz w:val="24"/>
        </w:rPr>
      </w:pPr>
      <w:r>
        <w:rPr>
          <w:rFonts w:hint="eastAsia" w:ascii="宋体" w:hAnsi="宋体"/>
          <w:sz w:val="24"/>
        </w:rPr>
        <w:t>1.甲方有权监督乙方项目的执行情况，随时提出服务改进建议，乙方应按甲方要求执行。</w:t>
      </w:r>
    </w:p>
    <w:p>
      <w:pPr>
        <w:tabs>
          <w:tab w:val="left" w:pos="851"/>
          <w:tab w:val="left" w:pos="1134"/>
          <w:tab w:val="left" w:pos="1276"/>
        </w:tabs>
        <w:adjustRightInd w:val="0"/>
        <w:snapToGrid w:val="0"/>
        <w:spacing w:line="360" w:lineRule="auto"/>
        <w:ind w:firstLine="480" w:firstLineChars="200"/>
        <w:contextualSpacing/>
        <w:rPr>
          <w:rFonts w:ascii="宋体" w:hAnsi="宋体"/>
          <w:sz w:val="24"/>
        </w:rPr>
      </w:pPr>
      <w:r>
        <w:rPr>
          <w:rFonts w:hint="eastAsia" w:ascii="宋体" w:hAnsi="宋体"/>
          <w:sz w:val="24"/>
        </w:rPr>
        <w:t>2.甲方为乙方提供项目服务提供必要的配合和支持。</w:t>
      </w:r>
    </w:p>
    <w:p>
      <w:pPr>
        <w:tabs>
          <w:tab w:val="left" w:pos="851"/>
          <w:tab w:val="left" w:pos="1134"/>
          <w:tab w:val="left" w:pos="1276"/>
        </w:tabs>
        <w:adjustRightInd w:val="0"/>
        <w:snapToGrid w:val="0"/>
        <w:spacing w:line="360" w:lineRule="auto"/>
        <w:ind w:firstLine="480" w:firstLineChars="200"/>
        <w:contextualSpacing/>
        <w:rPr>
          <w:rFonts w:ascii="宋体" w:hAnsi="宋体"/>
          <w:sz w:val="24"/>
        </w:rPr>
      </w:pPr>
      <w:r>
        <w:rPr>
          <w:rFonts w:hint="eastAsia" w:ascii="宋体" w:hAnsi="宋体"/>
          <w:sz w:val="24"/>
        </w:rPr>
        <w:t>3.甲方有权对乙方项目执行情况进行验收。</w:t>
      </w:r>
    </w:p>
    <w:p>
      <w:pPr>
        <w:tabs>
          <w:tab w:val="left" w:pos="851"/>
          <w:tab w:val="left" w:pos="1134"/>
          <w:tab w:val="left" w:pos="1276"/>
        </w:tabs>
        <w:adjustRightInd w:val="0"/>
        <w:snapToGrid w:val="0"/>
        <w:spacing w:line="360" w:lineRule="auto"/>
        <w:ind w:firstLine="480" w:firstLineChars="200"/>
        <w:contextualSpacing/>
        <w:rPr>
          <w:rFonts w:ascii="宋体" w:hAnsi="宋体"/>
          <w:sz w:val="24"/>
        </w:rPr>
      </w:pPr>
      <w:r>
        <w:rPr>
          <w:rFonts w:hint="eastAsia" w:ascii="宋体" w:hAnsi="宋体"/>
          <w:sz w:val="24"/>
        </w:rPr>
        <w:t>4.乙方保证其具有承接项目的资质和能力，能够按照合同约定及甲方确认的项目实施方案高质量提供项目服务。</w:t>
      </w:r>
    </w:p>
    <w:p>
      <w:pPr>
        <w:tabs>
          <w:tab w:val="left" w:pos="851"/>
          <w:tab w:val="left" w:pos="1134"/>
          <w:tab w:val="left" w:pos="1276"/>
        </w:tabs>
        <w:adjustRightInd w:val="0"/>
        <w:snapToGrid w:val="0"/>
        <w:spacing w:line="360" w:lineRule="auto"/>
        <w:ind w:firstLine="480" w:firstLineChars="200"/>
        <w:contextualSpacing/>
        <w:rPr>
          <w:rFonts w:ascii="宋体" w:hAnsi="宋体"/>
          <w:sz w:val="24"/>
        </w:rPr>
      </w:pPr>
      <w:r>
        <w:rPr>
          <w:rFonts w:hint="eastAsia" w:ascii="宋体" w:hAnsi="宋体"/>
          <w:sz w:val="24"/>
        </w:rPr>
        <w:t>5.合同履行中，乙方应做好服务工作的文件归档和资料留存工作，在项目服务完成后7日内向甲方提交结项报告，供甲方审核。</w:t>
      </w:r>
    </w:p>
    <w:p>
      <w:pPr>
        <w:tabs>
          <w:tab w:val="left" w:pos="851"/>
          <w:tab w:val="left" w:pos="1134"/>
          <w:tab w:val="left" w:pos="1276"/>
        </w:tabs>
        <w:adjustRightInd w:val="0"/>
        <w:snapToGrid w:val="0"/>
        <w:spacing w:line="360" w:lineRule="auto"/>
        <w:ind w:firstLine="480" w:firstLineChars="200"/>
        <w:contextualSpacing/>
        <w:rPr>
          <w:rFonts w:ascii="宋体" w:hAnsi="宋体"/>
          <w:sz w:val="24"/>
        </w:rPr>
      </w:pPr>
      <w:r>
        <w:rPr>
          <w:rFonts w:hint="eastAsia" w:ascii="宋体" w:hAnsi="宋体"/>
          <w:sz w:val="24"/>
        </w:rPr>
        <w:t>6.乙方指定【姓名、联系电话、邮箱、微信】为项目负责人，全面负责项目的执行和与甲方的日常联络。乙方项目组成员，在为甲方提供服务期间应保证人员的稳定性，如有变更应事前征得甲方书面同意；在服务过程中，甲方发现乙方工作人员有明显不符合要求的，乙方应在甲方提出要求后3日内给予调换。</w:t>
      </w:r>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服务评估及验收</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1.本合同履行过程中，甲方有权依据本合同以及项目实施方案对乙方的服务工作进行监督，甲方提出意见后，乙方应按照甲方要求积极整改。</w:t>
      </w:r>
    </w:p>
    <w:p>
      <w:pPr>
        <w:adjustRightInd w:val="0"/>
        <w:snapToGrid w:val="0"/>
        <w:spacing w:line="360" w:lineRule="auto"/>
        <w:ind w:firstLine="480" w:firstLineChars="200"/>
        <w:contextualSpacing/>
      </w:pPr>
      <w:r>
        <w:rPr>
          <w:rFonts w:hint="eastAsia" w:ascii="宋体" w:hAnsi="宋体"/>
          <w:sz w:val="24"/>
        </w:rPr>
        <w:t>2.服务工作全部完成后，甲方将依据项目实施方案开展服务评估、验收结算工作，经验收合格签署书面文件，作为付款依据之一，如验收不合格，甲方将扣减相应服务费。</w:t>
      </w:r>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服务成果归属与知识产权</w:t>
      </w:r>
    </w:p>
    <w:p>
      <w:pPr>
        <w:suppressAutoHyphens/>
        <w:adjustRightInd w:val="0"/>
        <w:snapToGrid w:val="0"/>
        <w:spacing w:line="360" w:lineRule="auto"/>
        <w:ind w:firstLine="480" w:firstLineChars="200"/>
        <w:contextualSpacing/>
        <w:rPr>
          <w:rFonts w:ascii="宋体" w:hAnsi="宋体"/>
          <w:sz w:val="24"/>
        </w:rPr>
      </w:pPr>
      <w:r>
        <w:rPr>
          <w:rFonts w:ascii="宋体" w:hAnsi="宋体"/>
          <w:sz w:val="24"/>
        </w:rPr>
        <w:t>1</w:t>
      </w:r>
      <w:r>
        <w:rPr>
          <w:rFonts w:hint="eastAsia" w:ascii="宋体" w:hAnsi="宋体"/>
          <w:sz w:val="24"/>
        </w:rPr>
        <w:t>.乙方承诺并保证其履行本合同过程中所使用的信息、资料、方案、图片等均不侵犯任何第三方知识产权及其他合法权益。否则引起的任何争议均应由乙方自行处理，甲方不承担任何责任，如由此给甲方造成损失，乙方应负责赔偿。</w:t>
      </w:r>
    </w:p>
    <w:p>
      <w:pPr>
        <w:suppressAutoHyphens/>
        <w:adjustRightInd w:val="0"/>
        <w:snapToGrid w:val="0"/>
        <w:spacing w:line="360" w:lineRule="auto"/>
        <w:ind w:firstLine="480" w:firstLineChars="200"/>
        <w:contextualSpacing/>
        <w:rPr>
          <w:rFonts w:ascii="宋体" w:hAnsi="宋体"/>
          <w:sz w:val="24"/>
        </w:rPr>
      </w:pPr>
      <w:r>
        <w:rPr>
          <w:rFonts w:hint="eastAsia" w:ascii="宋体" w:hAnsi="宋体"/>
          <w:sz w:val="24"/>
        </w:rPr>
        <w:t>2.本合同履行过程中，乙方为甲方提供服务产生服务成果的所有权及知识产权应排他的归甲方享有。未经甲方书面同意，乙方不得擅自使用或授权第三方使用服务过程中形成的任何资料或服务成果。</w:t>
      </w:r>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保密条款</w:t>
      </w:r>
    </w:p>
    <w:p>
      <w:pPr>
        <w:suppressAutoHyphens/>
        <w:adjustRightInd w:val="0"/>
        <w:snapToGrid w:val="0"/>
        <w:spacing w:line="360" w:lineRule="auto"/>
        <w:ind w:firstLine="480" w:firstLineChars="200"/>
        <w:contextualSpacing/>
        <w:rPr>
          <w:rFonts w:ascii="宋体" w:hAnsi="宋体"/>
          <w:sz w:val="24"/>
        </w:rPr>
      </w:pPr>
      <w:r>
        <w:rPr>
          <w:rFonts w:hint="eastAsia" w:ascii="宋体" w:hAnsi="宋体"/>
          <w:sz w:val="24"/>
        </w:rPr>
        <w:t>双方在履行本合同过程中知悉或者取得的对方的任何资料或者信息，均视为对方的内部信息、学术秘密或商业秘密，非事前经权利人书面同意，不得披露给本合同之外的任何第三方或者用于本合同之外的用途。该条款内容不因本合同的终止而终止。</w:t>
      </w:r>
    </w:p>
    <w:p>
      <w:pPr>
        <w:numPr>
          <w:ilvl w:val="0"/>
          <w:numId w:val="12"/>
        </w:numPr>
        <w:adjustRightInd w:val="0"/>
        <w:snapToGrid w:val="0"/>
        <w:spacing w:line="360" w:lineRule="auto"/>
        <w:ind w:left="0" w:firstLine="481" w:firstLineChars="200"/>
        <w:contextualSpacing/>
        <w:rPr>
          <w:rFonts w:ascii="宋体" w:hAnsi="宋体"/>
          <w:b/>
          <w:sz w:val="24"/>
        </w:rPr>
      </w:pPr>
      <w:r>
        <w:rPr>
          <w:rFonts w:hint="eastAsia" w:ascii="宋体" w:hAnsi="宋体"/>
          <w:b/>
          <w:sz w:val="24"/>
        </w:rPr>
        <w:t xml:space="preserve"> 违约及合同解除</w:t>
      </w:r>
    </w:p>
    <w:p>
      <w:pPr>
        <w:snapToGrid w:val="0"/>
        <w:spacing w:line="360" w:lineRule="auto"/>
        <w:ind w:firstLine="480" w:firstLineChars="200"/>
        <w:rPr>
          <w:rFonts w:ascii="宋体" w:hAnsi="宋体"/>
          <w:sz w:val="24"/>
        </w:rPr>
      </w:pPr>
      <w:r>
        <w:rPr>
          <w:rFonts w:hint="eastAsia" w:ascii="宋体" w:hAnsi="宋体"/>
          <w:sz w:val="24"/>
        </w:rPr>
        <w:t>1.甲乙双方均应认真、全面履行本合同项下的各项义务，任何一方不履行或未按约定履行均构成违约，违约方应赔偿因此给守约方造成的全部损失（包括直接损失和间接损失）。</w:t>
      </w:r>
    </w:p>
    <w:p>
      <w:pPr>
        <w:tabs>
          <w:tab w:val="left" w:pos="851"/>
          <w:tab w:val="left" w:pos="1134"/>
        </w:tabs>
        <w:adjustRightInd w:val="0"/>
        <w:snapToGrid w:val="0"/>
        <w:spacing w:line="360" w:lineRule="auto"/>
        <w:ind w:firstLine="480" w:firstLineChars="200"/>
        <w:contextualSpacing/>
        <w:rPr>
          <w:rFonts w:ascii="宋体" w:hAnsi="宋体"/>
          <w:sz w:val="24"/>
        </w:rPr>
      </w:pPr>
      <w:r>
        <w:rPr>
          <w:rFonts w:hint="eastAsia" w:ascii="宋体" w:hAnsi="宋体"/>
          <w:sz w:val="24"/>
        </w:rPr>
        <w:t>2.合同履行中出现以下情形，甲方有权单方解除本合同，且甲方不再向乙方支付任何费用，乙方已经收取的费用应全部返还甲方，并另行向甲方支付合同总金额的【3</w:t>
      </w:r>
      <w:r>
        <w:rPr>
          <w:rFonts w:ascii="宋体" w:hAnsi="宋体"/>
          <w:sz w:val="24"/>
        </w:rPr>
        <w:t>0%</w:t>
      </w:r>
      <w:r>
        <w:rPr>
          <w:rFonts w:hint="eastAsia" w:ascii="宋体" w:hAnsi="宋体"/>
          <w:sz w:val="24"/>
        </w:rPr>
        <w:t>】作为违约金：</w:t>
      </w:r>
    </w:p>
    <w:p>
      <w:pPr>
        <w:tabs>
          <w:tab w:val="left" w:pos="851"/>
          <w:tab w:val="left" w:pos="1134"/>
        </w:tabs>
        <w:adjustRightInd w:val="0"/>
        <w:snapToGrid w:val="0"/>
        <w:spacing w:line="360" w:lineRule="auto"/>
        <w:ind w:firstLine="480" w:firstLineChars="200"/>
        <w:contextualSpacing/>
        <w:rPr>
          <w:rFonts w:ascii="宋体" w:hAnsi="宋体"/>
          <w:sz w:val="24"/>
        </w:rPr>
      </w:pPr>
      <w:r>
        <w:rPr>
          <w:rFonts w:hint="eastAsia" w:ascii="宋体" w:hAnsi="宋体"/>
          <w:sz w:val="24"/>
        </w:rPr>
        <w:t>（1）合同履行过程中，甲方书面通知乙方改正其违约行为，乙方未能及时改正；</w:t>
      </w:r>
    </w:p>
    <w:p>
      <w:pPr>
        <w:tabs>
          <w:tab w:val="left" w:pos="851"/>
          <w:tab w:val="left" w:pos="1134"/>
        </w:tabs>
        <w:adjustRightInd w:val="0"/>
        <w:snapToGrid w:val="0"/>
        <w:spacing w:line="360" w:lineRule="auto"/>
        <w:ind w:firstLine="480" w:firstLineChars="200"/>
        <w:contextualSpacing/>
        <w:rPr>
          <w:rFonts w:ascii="宋体" w:hAnsi="宋体"/>
          <w:sz w:val="24"/>
        </w:rPr>
      </w:pPr>
      <w:r>
        <w:rPr>
          <w:rFonts w:hint="eastAsia" w:ascii="宋体" w:hAnsi="宋体"/>
          <w:sz w:val="24"/>
        </w:rPr>
        <w:t>（2）乙方在合同有效期内累计出现【</w:t>
      </w:r>
      <w:r>
        <w:rPr>
          <w:rFonts w:ascii="宋体" w:hAnsi="宋体"/>
          <w:sz w:val="24"/>
        </w:rPr>
        <w:t>3</w:t>
      </w:r>
      <w:r>
        <w:rPr>
          <w:rFonts w:hint="eastAsia" w:ascii="宋体" w:hAnsi="宋体"/>
          <w:sz w:val="24"/>
        </w:rPr>
        <w:t>次】违约行为；</w:t>
      </w:r>
    </w:p>
    <w:p>
      <w:pPr>
        <w:tabs>
          <w:tab w:val="left" w:pos="851"/>
          <w:tab w:val="left" w:pos="1134"/>
        </w:tabs>
        <w:adjustRightInd w:val="0"/>
        <w:snapToGrid w:val="0"/>
        <w:spacing w:line="360" w:lineRule="auto"/>
        <w:ind w:firstLine="480" w:firstLineChars="200"/>
        <w:contextualSpacing/>
        <w:rPr>
          <w:rFonts w:ascii="宋体" w:hAnsi="宋体"/>
          <w:sz w:val="24"/>
        </w:rPr>
      </w:pPr>
      <w:r>
        <w:rPr>
          <w:rFonts w:hint="eastAsia" w:ascii="宋体" w:hAnsi="宋体"/>
          <w:sz w:val="24"/>
        </w:rPr>
        <w:t>（3）乙方为承接项目向甲方提供的相关资料存在虚假（包括但不限于项目组成员简历不实、不具有资质等）；</w:t>
      </w:r>
    </w:p>
    <w:p>
      <w:pPr>
        <w:tabs>
          <w:tab w:val="left" w:pos="851"/>
          <w:tab w:val="left" w:pos="1134"/>
        </w:tabs>
        <w:adjustRightInd w:val="0"/>
        <w:snapToGrid w:val="0"/>
        <w:spacing w:line="360" w:lineRule="auto"/>
        <w:ind w:firstLine="480" w:firstLineChars="200"/>
        <w:contextualSpacing/>
        <w:rPr>
          <w:rFonts w:ascii="宋体" w:hAnsi="宋体"/>
          <w:sz w:val="24"/>
        </w:rPr>
      </w:pPr>
      <w:r>
        <w:rPr>
          <w:rFonts w:hint="eastAsia" w:ascii="宋体" w:hAnsi="宋体"/>
          <w:sz w:val="24"/>
        </w:rPr>
        <w:t>（4）乙方逾期完成实施方案约定的各阶段服务工作累计超过1</w:t>
      </w:r>
      <w:r>
        <w:rPr>
          <w:rFonts w:ascii="宋体" w:hAnsi="宋体"/>
          <w:sz w:val="24"/>
        </w:rPr>
        <w:t>5</w:t>
      </w:r>
      <w:r>
        <w:rPr>
          <w:rFonts w:hint="eastAsia" w:ascii="宋体" w:hAnsi="宋体"/>
          <w:sz w:val="24"/>
        </w:rPr>
        <w:t>日；</w:t>
      </w:r>
    </w:p>
    <w:p>
      <w:pPr>
        <w:tabs>
          <w:tab w:val="left" w:pos="851"/>
          <w:tab w:val="left" w:pos="1134"/>
        </w:tabs>
        <w:adjustRightInd w:val="0"/>
        <w:snapToGrid w:val="0"/>
        <w:spacing w:line="360" w:lineRule="auto"/>
        <w:ind w:firstLine="480" w:firstLineChars="200"/>
        <w:contextualSpacing/>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）乙方违反本合同关于知识产权、保密条款的约定。</w:t>
      </w:r>
    </w:p>
    <w:p>
      <w:pPr>
        <w:tabs>
          <w:tab w:val="left" w:pos="851"/>
          <w:tab w:val="left" w:pos="1134"/>
        </w:tabs>
        <w:adjustRightInd w:val="0"/>
        <w:snapToGrid w:val="0"/>
        <w:spacing w:line="360" w:lineRule="auto"/>
        <w:ind w:firstLine="480" w:firstLineChars="200"/>
        <w:contextualSpacing/>
        <w:rPr>
          <w:rFonts w:ascii="宋体" w:hAnsi="宋体"/>
          <w:sz w:val="24"/>
        </w:rPr>
      </w:pPr>
      <w:r>
        <w:rPr>
          <w:rFonts w:ascii="宋体" w:hAnsi="宋体"/>
          <w:sz w:val="24"/>
        </w:rPr>
        <w:t>3</w:t>
      </w:r>
      <w:r>
        <w:rPr>
          <w:rFonts w:hint="eastAsia" w:ascii="宋体" w:hAnsi="宋体"/>
          <w:sz w:val="24"/>
        </w:rPr>
        <w:t>.乙方未按照甲方确认的项目实施方案完成各阶段服务工作的，或未按甲方整改要求及时完成整改，每逾期一日，应向甲方支付合同总价款的【</w:t>
      </w:r>
      <w:r>
        <w:rPr>
          <w:rFonts w:ascii="宋体" w:hAnsi="宋体"/>
          <w:sz w:val="24"/>
          <w:u w:val="single"/>
        </w:rPr>
        <w:t>1</w:t>
      </w:r>
      <w:r>
        <w:rPr>
          <w:rFonts w:hint="eastAsia" w:ascii="宋体" w:hAnsi="宋体"/>
          <w:sz w:val="24"/>
        </w:rPr>
        <w:t>%】作为违约金。</w:t>
      </w:r>
    </w:p>
    <w:p>
      <w:pPr>
        <w:tabs>
          <w:tab w:val="left" w:pos="851"/>
          <w:tab w:val="left" w:pos="1134"/>
        </w:tabs>
        <w:adjustRightInd w:val="0"/>
        <w:snapToGrid w:val="0"/>
        <w:spacing w:line="360" w:lineRule="auto"/>
        <w:ind w:firstLine="480" w:firstLineChars="200"/>
        <w:contextualSpacing/>
        <w:rPr>
          <w:rFonts w:ascii="宋体" w:hAnsi="宋体"/>
          <w:sz w:val="24"/>
        </w:rPr>
      </w:pPr>
      <w:r>
        <w:rPr>
          <w:rFonts w:hint="eastAsia" w:ascii="宋体" w:hAnsi="宋体"/>
          <w:sz w:val="24"/>
        </w:rPr>
        <w:t>4.对于乙方应支付的违约金及赔偿金，甲方有权从未付款项中予以扣除，</w:t>
      </w:r>
      <w:r>
        <w:rPr>
          <w:rFonts w:ascii="宋体" w:hAnsi="宋体"/>
          <w:sz w:val="24"/>
        </w:rPr>
        <w:t>不足部分</w:t>
      </w:r>
      <w:r>
        <w:rPr>
          <w:rFonts w:hint="eastAsia" w:ascii="宋体" w:hAnsi="宋体"/>
          <w:sz w:val="24"/>
        </w:rPr>
        <w:t>有权向</w:t>
      </w:r>
      <w:r>
        <w:rPr>
          <w:rFonts w:ascii="宋体" w:hAnsi="宋体"/>
          <w:sz w:val="24"/>
        </w:rPr>
        <w:t>乙方追偿</w:t>
      </w:r>
      <w:r>
        <w:rPr>
          <w:rFonts w:hint="eastAsia" w:ascii="宋体" w:hAnsi="宋体"/>
          <w:sz w:val="24"/>
        </w:rPr>
        <w:t>。</w:t>
      </w:r>
    </w:p>
    <w:p>
      <w:pPr>
        <w:spacing w:line="360" w:lineRule="auto"/>
        <w:ind w:left="38" w:firstLine="481" w:firstLineChars="200"/>
        <w:rPr>
          <w:rFonts w:ascii="宋体" w:hAnsi="宋体"/>
          <w:b/>
          <w:bCs/>
          <w:sz w:val="24"/>
        </w:rPr>
      </w:pPr>
      <w:r>
        <w:rPr>
          <w:rFonts w:hint="eastAsia" w:ascii="宋体" w:hAnsi="宋体"/>
          <w:b/>
          <w:bCs/>
          <w:sz w:val="24"/>
        </w:rPr>
        <w:t>第</w:t>
      </w:r>
      <w:r>
        <w:rPr>
          <w:rFonts w:ascii="宋体" w:hAnsi="宋体"/>
          <w:b/>
          <w:bCs/>
          <w:sz w:val="24"/>
        </w:rPr>
        <w:t>十</w:t>
      </w:r>
      <w:r>
        <w:rPr>
          <w:rFonts w:hint="eastAsia" w:ascii="宋体" w:hAnsi="宋体"/>
          <w:b/>
          <w:bCs/>
          <w:sz w:val="24"/>
        </w:rPr>
        <w:t xml:space="preserve">条 </w:t>
      </w:r>
      <w:r>
        <w:rPr>
          <w:rFonts w:ascii="宋体" w:hAnsi="宋体"/>
          <w:b/>
          <w:bCs/>
          <w:sz w:val="24"/>
        </w:rPr>
        <w:t xml:space="preserve"> 不可抗力</w:t>
      </w:r>
    </w:p>
    <w:p>
      <w:pPr>
        <w:spacing w:line="360" w:lineRule="auto"/>
        <w:ind w:left="38" w:firstLine="480" w:firstLineChars="200"/>
        <w:rPr>
          <w:rFonts w:ascii="宋体" w:hAnsi="宋体"/>
          <w:sz w:val="24"/>
        </w:rPr>
      </w:pPr>
      <w:r>
        <w:rPr>
          <w:rFonts w:ascii="宋体" w:hAnsi="宋体"/>
          <w:sz w:val="24"/>
        </w:rPr>
        <w:t>1.不可抗力指下列事件：战争、动乱、瘟疫、严重火灾、洪水、地震、风暴或其他自然灾害，以及本合同各方不可预见、不可防止并不能避免或克服的一切其他事件。</w:t>
      </w:r>
    </w:p>
    <w:p>
      <w:pPr>
        <w:spacing w:line="360" w:lineRule="auto"/>
        <w:ind w:left="38" w:firstLine="480" w:firstLineChars="200"/>
        <w:rPr>
          <w:rFonts w:ascii="宋体" w:hAnsi="宋体"/>
          <w:sz w:val="24"/>
        </w:rPr>
      </w:pPr>
      <w:r>
        <w:rPr>
          <w:rFonts w:ascii="宋体" w:hAnsi="宋体"/>
          <w:sz w:val="24"/>
        </w:rPr>
        <w:t>2.任何一方因不可抗力不能履行本合同规定的全部或部分义务，该方应尽快通知对方，并须在不可抗力发生后3日内以书面形式向对方提供详细情况报告及不可抗力对履行本合同的影响程度的说明。</w:t>
      </w:r>
    </w:p>
    <w:p>
      <w:pPr>
        <w:spacing w:line="360" w:lineRule="auto"/>
        <w:ind w:left="38" w:firstLine="480" w:firstLineChars="200"/>
        <w:rPr>
          <w:rFonts w:ascii="宋体" w:hAnsi="宋体"/>
          <w:sz w:val="24"/>
        </w:rPr>
      </w:pPr>
      <w:r>
        <w:rPr>
          <w:rFonts w:ascii="宋体" w:hAnsi="宋体"/>
          <w:sz w:val="24"/>
        </w:rPr>
        <w:t>3.发生不可抗力事件，任何一方均不对因不可抗力无法履行或迟延履行本合同义务而使另外一方蒙受的任何损失承担责任。但遭受不可抗力影响的一方有责任尽可能及时采取适当或必要措施减少或消除不可抗力的影响。遭受不可抗力影响的一方对因未尽本项责任而造成的相关损失承担责任。</w:t>
      </w:r>
    </w:p>
    <w:p>
      <w:pPr>
        <w:spacing w:line="360" w:lineRule="auto"/>
        <w:ind w:left="38" w:firstLine="480" w:firstLineChars="200"/>
        <w:rPr>
          <w:rFonts w:ascii="宋体" w:hAnsi="宋体"/>
          <w:sz w:val="24"/>
        </w:rPr>
      </w:pPr>
      <w:r>
        <w:rPr>
          <w:rFonts w:ascii="宋体" w:hAnsi="宋体"/>
          <w:sz w:val="24"/>
        </w:rPr>
        <w:t>4.合同双方应根据不可抗力对本合同履行的影响程度，协商确定是否终止本合同，或是继续履行本合同。</w:t>
      </w:r>
    </w:p>
    <w:p>
      <w:pPr>
        <w:spacing w:line="360" w:lineRule="auto"/>
        <w:ind w:firstLine="481" w:firstLineChars="200"/>
        <w:rPr>
          <w:rFonts w:ascii="宋体" w:hAnsi="宋体"/>
          <w:b/>
          <w:bCs/>
          <w:sz w:val="24"/>
        </w:rPr>
      </w:pPr>
      <w:r>
        <w:rPr>
          <w:rFonts w:hint="eastAsia" w:ascii="宋体" w:hAnsi="宋体"/>
          <w:b/>
          <w:bCs/>
          <w:sz w:val="24"/>
        </w:rPr>
        <w:t>第</w:t>
      </w:r>
      <w:r>
        <w:rPr>
          <w:rFonts w:ascii="宋体" w:hAnsi="宋体"/>
          <w:b/>
          <w:bCs/>
          <w:sz w:val="24"/>
        </w:rPr>
        <w:t>十</w:t>
      </w:r>
      <w:r>
        <w:rPr>
          <w:rFonts w:hint="eastAsia" w:ascii="宋体" w:hAnsi="宋体"/>
          <w:b/>
          <w:bCs/>
          <w:sz w:val="24"/>
        </w:rPr>
        <w:t xml:space="preserve">一条 </w:t>
      </w:r>
      <w:r>
        <w:rPr>
          <w:rFonts w:ascii="宋体" w:hAnsi="宋体"/>
          <w:b/>
          <w:bCs/>
          <w:sz w:val="24"/>
        </w:rPr>
        <w:t xml:space="preserve"> </w:t>
      </w:r>
      <w:r>
        <w:rPr>
          <w:rFonts w:hint="eastAsia" w:ascii="宋体" w:hAnsi="宋体"/>
          <w:b/>
          <w:bCs/>
          <w:sz w:val="24"/>
        </w:rPr>
        <w:t>通知及送达</w:t>
      </w:r>
    </w:p>
    <w:p>
      <w:pPr>
        <w:tabs>
          <w:tab w:val="left" w:pos="840"/>
        </w:tabs>
        <w:spacing w:line="360" w:lineRule="auto"/>
        <w:ind w:left="38" w:firstLine="480" w:firstLineChars="200"/>
        <w:rPr>
          <w:rFonts w:ascii="宋体" w:hAnsi="宋体"/>
          <w:sz w:val="24"/>
        </w:rPr>
      </w:pPr>
      <w:r>
        <w:rPr>
          <w:rFonts w:ascii="宋体" w:hAnsi="宋体"/>
          <w:sz w:val="24"/>
        </w:rPr>
        <w:t>1.合同双方发出与本合同有关的通知或回复，应以专人送递、传真或特快专递方式发出；如果以专人送递或特快专递发送，以</w:t>
      </w:r>
      <w:r>
        <w:rPr>
          <w:rFonts w:hint="eastAsia" w:ascii="宋体" w:hAnsi="宋体"/>
          <w:sz w:val="24"/>
        </w:rPr>
        <w:t>送达</w:t>
      </w:r>
      <w:r>
        <w:rPr>
          <w:rFonts w:ascii="宋体" w:hAnsi="宋体"/>
          <w:sz w:val="24"/>
        </w:rPr>
        <w:t>对方的住所地或通讯联络地为送达；如果以传真方式发送，发件人在收到传真报告后视为送达。</w:t>
      </w:r>
    </w:p>
    <w:p>
      <w:pPr>
        <w:tabs>
          <w:tab w:val="left" w:pos="840"/>
        </w:tabs>
        <w:spacing w:line="360" w:lineRule="auto"/>
        <w:ind w:left="38" w:firstLine="480" w:firstLineChars="200"/>
        <w:rPr>
          <w:rFonts w:ascii="宋体" w:hAnsi="宋体"/>
          <w:sz w:val="24"/>
        </w:rPr>
      </w:pPr>
      <w:r>
        <w:rPr>
          <w:rFonts w:ascii="宋体" w:hAnsi="宋体"/>
          <w:sz w:val="24"/>
        </w:rPr>
        <w:t>2.合同双方发出的与本合同有关的通知或回复均应</w:t>
      </w:r>
      <w:r>
        <w:rPr>
          <w:rFonts w:hint="eastAsia" w:ascii="宋体" w:hAnsi="宋体"/>
          <w:sz w:val="24"/>
        </w:rPr>
        <w:t>按合同签署页所列信息发送，相关联系信息</w:t>
      </w:r>
      <w:r>
        <w:rPr>
          <w:rFonts w:ascii="宋体" w:hAnsi="宋体"/>
          <w:sz w:val="24"/>
        </w:rPr>
        <w:t>变更，应自变更之日起3个工作日内，将变更后的</w:t>
      </w:r>
      <w:r>
        <w:rPr>
          <w:rFonts w:hint="eastAsia" w:ascii="宋体" w:hAnsi="宋体"/>
          <w:sz w:val="24"/>
        </w:rPr>
        <w:t>联系信息</w:t>
      </w:r>
      <w:r>
        <w:rPr>
          <w:rFonts w:ascii="宋体" w:hAnsi="宋体"/>
          <w:sz w:val="24"/>
        </w:rPr>
        <w:t>通知对方。变更方不履行通知义务的，应对此造成的一切后果承担法律责任。</w:t>
      </w:r>
    </w:p>
    <w:p>
      <w:pPr>
        <w:spacing w:line="360" w:lineRule="auto"/>
        <w:ind w:left="136" w:leftChars="65" w:firstLine="354" w:firstLineChars="147"/>
        <w:rPr>
          <w:rFonts w:ascii="宋体" w:hAnsi="宋体"/>
          <w:b/>
          <w:bCs/>
          <w:sz w:val="24"/>
        </w:rPr>
      </w:pPr>
      <w:r>
        <w:rPr>
          <w:rFonts w:hint="eastAsia" w:ascii="宋体" w:hAnsi="宋体"/>
          <w:b/>
          <w:bCs/>
          <w:sz w:val="24"/>
        </w:rPr>
        <w:t>第</w:t>
      </w:r>
      <w:r>
        <w:rPr>
          <w:rFonts w:ascii="宋体" w:hAnsi="宋体"/>
          <w:b/>
          <w:bCs/>
          <w:sz w:val="24"/>
        </w:rPr>
        <w:t>十</w:t>
      </w:r>
      <w:r>
        <w:rPr>
          <w:rFonts w:hint="eastAsia" w:ascii="宋体" w:hAnsi="宋体"/>
          <w:b/>
          <w:bCs/>
          <w:sz w:val="24"/>
        </w:rPr>
        <w:t xml:space="preserve">二条 </w:t>
      </w:r>
      <w:r>
        <w:rPr>
          <w:rFonts w:ascii="宋体" w:hAnsi="宋体"/>
          <w:b/>
          <w:bCs/>
          <w:sz w:val="24"/>
        </w:rPr>
        <w:t xml:space="preserve"> 合同的终止</w:t>
      </w:r>
    </w:p>
    <w:p>
      <w:pPr>
        <w:spacing w:line="360" w:lineRule="auto"/>
        <w:ind w:left="38" w:firstLine="480" w:firstLineChars="200"/>
        <w:rPr>
          <w:rFonts w:ascii="宋体" w:hAnsi="宋体"/>
          <w:sz w:val="24"/>
        </w:rPr>
      </w:pPr>
      <w:r>
        <w:rPr>
          <w:rFonts w:ascii="宋体" w:hAnsi="宋体"/>
          <w:sz w:val="24"/>
        </w:rPr>
        <w:t>1.本合同因下列原因而终止：</w:t>
      </w:r>
    </w:p>
    <w:p>
      <w:pPr>
        <w:spacing w:line="360" w:lineRule="auto"/>
        <w:ind w:left="38" w:firstLine="480" w:firstLineChars="200"/>
        <w:rPr>
          <w:rFonts w:ascii="宋体" w:hAnsi="宋体"/>
          <w:sz w:val="24"/>
        </w:rPr>
      </w:pPr>
      <w:r>
        <w:rPr>
          <w:rFonts w:ascii="宋体" w:hAnsi="宋体"/>
          <w:sz w:val="24"/>
        </w:rPr>
        <w:t>（1）本合同正常履行完毕；</w:t>
      </w:r>
    </w:p>
    <w:p>
      <w:pPr>
        <w:spacing w:line="360" w:lineRule="auto"/>
        <w:ind w:left="38" w:firstLine="480" w:firstLineChars="200"/>
        <w:rPr>
          <w:rFonts w:ascii="宋体" w:hAnsi="宋体"/>
          <w:sz w:val="24"/>
        </w:rPr>
      </w:pPr>
      <w:r>
        <w:rPr>
          <w:rFonts w:ascii="宋体" w:hAnsi="宋体"/>
          <w:sz w:val="24"/>
        </w:rPr>
        <w:t>（2）合同双方协议终止本合同的履行；</w:t>
      </w:r>
    </w:p>
    <w:p>
      <w:pPr>
        <w:spacing w:line="360" w:lineRule="auto"/>
        <w:ind w:left="38" w:firstLine="480" w:firstLineChars="200"/>
        <w:rPr>
          <w:rFonts w:ascii="宋体" w:hAnsi="宋体"/>
          <w:sz w:val="24"/>
        </w:rPr>
      </w:pPr>
      <w:r>
        <w:rPr>
          <w:rFonts w:ascii="宋体" w:hAnsi="宋体"/>
          <w:sz w:val="24"/>
        </w:rPr>
        <w:t>（3）不可抗力事件导致本合同无法履行；</w:t>
      </w:r>
    </w:p>
    <w:p>
      <w:pPr>
        <w:spacing w:line="360" w:lineRule="auto"/>
        <w:ind w:left="38" w:firstLine="480" w:firstLineChars="200"/>
        <w:rPr>
          <w:rFonts w:ascii="宋体" w:hAnsi="宋体"/>
          <w:sz w:val="24"/>
        </w:rPr>
      </w:pPr>
      <w:r>
        <w:rPr>
          <w:rFonts w:ascii="宋体" w:hAnsi="宋体"/>
          <w:sz w:val="24"/>
        </w:rPr>
        <w:t>（4）任何一方</w:t>
      </w:r>
      <w:r>
        <w:rPr>
          <w:rFonts w:hint="eastAsia" w:ascii="宋体" w:hAnsi="宋体"/>
          <w:sz w:val="24"/>
        </w:rPr>
        <w:t>依据法律规定或本合同约定</w:t>
      </w:r>
      <w:r>
        <w:rPr>
          <w:rFonts w:ascii="宋体" w:hAnsi="宋体"/>
          <w:sz w:val="24"/>
        </w:rPr>
        <w:t>行使解除权，解除本合同。</w:t>
      </w:r>
    </w:p>
    <w:p>
      <w:pPr>
        <w:spacing w:line="360" w:lineRule="auto"/>
        <w:ind w:left="38" w:firstLine="480" w:firstLineChars="200"/>
        <w:rPr>
          <w:rFonts w:ascii="宋体" w:hAnsi="宋体"/>
          <w:sz w:val="24"/>
        </w:rPr>
      </w:pPr>
      <w:r>
        <w:rPr>
          <w:rFonts w:ascii="宋体" w:hAnsi="宋体"/>
          <w:sz w:val="24"/>
        </w:rPr>
        <w:t>2.</w:t>
      </w:r>
      <w:r>
        <w:rPr>
          <w:rFonts w:hint="eastAsia" w:ascii="宋体" w:hAnsi="宋体"/>
          <w:sz w:val="24"/>
        </w:rPr>
        <w:t>本合同因任何原因终止，保密义务条款仍然有效。</w:t>
      </w:r>
    </w:p>
    <w:p>
      <w:pPr>
        <w:spacing w:line="360" w:lineRule="auto"/>
        <w:ind w:left="136" w:leftChars="65" w:firstLine="354" w:firstLineChars="147"/>
        <w:rPr>
          <w:rFonts w:ascii="宋体" w:hAnsi="宋体"/>
          <w:b/>
          <w:bCs/>
          <w:sz w:val="24"/>
        </w:rPr>
      </w:pPr>
      <w:r>
        <w:rPr>
          <w:rFonts w:hint="eastAsia" w:ascii="宋体" w:hAnsi="宋体"/>
          <w:b/>
          <w:bCs/>
          <w:sz w:val="24"/>
        </w:rPr>
        <w:t xml:space="preserve">第十三条 </w:t>
      </w:r>
      <w:r>
        <w:rPr>
          <w:rFonts w:ascii="宋体" w:hAnsi="宋体"/>
          <w:b/>
          <w:bCs/>
          <w:sz w:val="24"/>
        </w:rPr>
        <w:t xml:space="preserve"> 争议的解决</w:t>
      </w:r>
    </w:p>
    <w:p>
      <w:pPr>
        <w:spacing w:line="360" w:lineRule="auto"/>
        <w:ind w:left="38" w:firstLine="480" w:firstLineChars="200"/>
        <w:rPr>
          <w:rFonts w:ascii="宋体" w:hAnsi="宋体"/>
          <w:sz w:val="24"/>
        </w:rPr>
      </w:pPr>
      <w:r>
        <w:rPr>
          <w:rFonts w:ascii="宋体" w:hAnsi="宋体"/>
          <w:sz w:val="24"/>
        </w:rPr>
        <w:t>1.合同双方应通过友好协商解决因解释﹑执行本合同所发生的和本合同有关的一切争议。如果经协商不能达成协议，则双方同意在甲方住所地有管辖权的人民法院提起诉讼。</w:t>
      </w:r>
    </w:p>
    <w:p>
      <w:pPr>
        <w:spacing w:line="360" w:lineRule="auto"/>
        <w:ind w:left="38" w:firstLine="480" w:firstLineChars="200"/>
        <w:rPr>
          <w:rFonts w:ascii="宋体" w:hAnsi="宋体"/>
          <w:sz w:val="24"/>
        </w:rPr>
      </w:pPr>
      <w:r>
        <w:rPr>
          <w:rFonts w:ascii="宋体" w:hAnsi="宋体"/>
          <w:sz w:val="24"/>
        </w:rPr>
        <w:t>2.在诉讼期间，除了必须在诉讼过程中进行解决的</w:t>
      </w:r>
      <w:r>
        <w:rPr>
          <w:rFonts w:hint="eastAsia" w:ascii="宋体" w:hAnsi="宋体"/>
          <w:sz w:val="24"/>
        </w:rPr>
        <w:t>相应</w:t>
      </w:r>
      <w:r>
        <w:rPr>
          <w:rFonts w:ascii="宋体" w:hAnsi="宋体"/>
          <w:sz w:val="24"/>
        </w:rPr>
        <w:t>部分问题外，合同其余部分应继续履行。</w:t>
      </w:r>
    </w:p>
    <w:p>
      <w:pPr>
        <w:spacing w:line="360" w:lineRule="auto"/>
        <w:ind w:left="136" w:leftChars="65" w:firstLine="354" w:firstLineChars="147"/>
        <w:rPr>
          <w:rFonts w:ascii="宋体" w:hAnsi="宋体"/>
          <w:b/>
          <w:bCs/>
          <w:sz w:val="24"/>
        </w:rPr>
      </w:pPr>
      <w:r>
        <w:rPr>
          <w:rFonts w:hint="eastAsia" w:ascii="宋体" w:hAnsi="宋体"/>
          <w:b/>
          <w:bCs/>
          <w:sz w:val="24"/>
        </w:rPr>
        <w:t>第</w:t>
      </w:r>
      <w:r>
        <w:rPr>
          <w:rFonts w:ascii="宋体" w:hAnsi="宋体"/>
          <w:b/>
          <w:bCs/>
          <w:sz w:val="24"/>
        </w:rPr>
        <w:t>十</w:t>
      </w:r>
      <w:r>
        <w:rPr>
          <w:rFonts w:hint="eastAsia" w:ascii="宋体" w:hAnsi="宋体"/>
          <w:b/>
          <w:bCs/>
          <w:sz w:val="24"/>
        </w:rPr>
        <w:t xml:space="preserve">四条 </w:t>
      </w:r>
      <w:r>
        <w:rPr>
          <w:rFonts w:ascii="宋体" w:hAnsi="宋体"/>
          <w:b/>
          <w:bCs/>
          <w:sz w:val="24"/>
        </w:rPr>
        <w:t xml:space="preserve"> 合同的补充、修改和变更</w:t>
      </w:r>
    </w:p>
    <w:p>
      <w:pPr>
        <w:spacing w:line="360" w:lineRule="auto"/>
        <w:ind w:left="38"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双方协商一致，可以对本合同进行补充、修改或变更。</w:t>
      </w:r>
    </w:p>
    <w:p>
      <w:pPr>
        <w:spacing w:line="360" w:lineRule="auto"/>
        <w:ind w:left="38"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对本合同的任何补充、修改或变更必须以书面形式进行。</w:t>
      </w:r>
    </w:p>
    <w:p>
      <w:pPr>
        <w:spacing w:line="360" w:lineRule="auto"/>
        <w:ind w:left="38"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双方签订的补充协议以及修改或变更的条款与本合同具有同等法律效力。</w:t>
      </w:r>
    </w:p>
    <w:p>
      <w:pPr>
        <w:spacing w:line="360" w:lineRule="auto"/>
        <w:ind w:left="136" w:leftChars="65" w:firstLine="354" w:firstLineChars="147"/>
        <w:rPr>
          <w:rFonts w:ascii="宋体" w:hAnsi="宋体"/>
          <w:b/>
          <w:bCs/>
          <w:sz w:val="24"/>
        </w:rPr>
      </w:pPr>
      <w:r>
        <w:rPr>
          <w:rFonts w:hint="eastAsia" w:ascii="宋体" w:hAnsi="宋体"/>
          <w:b/>
          <w:bCs/>
          <w:sz w:val="24"/>
        </w:rPr>
        <w:t>第</w:t>
      </w:r>
      <w:r>
        <w:rPr>
          <w:rFonts w:ascii="宋体" w:hAnsi="宋体"/>
          <w:b/>
          <w:bCs/>
          <w:sz w:val="24"/>
        </w:rPr>
        <w:t>十</w:t>
      </w:r>
      <w:r>
        <w:rPr>
          <w:rFonts w:hint="eastAsia" w:ascii="宋体" w:hAnsi="宋体"/>
          <w:b/>
          <w:bCs/>
          <w:sz w:val="24"/>
        </w:rPr>
        <w:t xml:space="preserve">五条 </w:t>
      </w:r>
      <w:r>
        <w:rPr>
          <w:rFonts w:ascii="宋体" w:hAnsi="宋体"/>
          <w:b/>
          <w:bCs/>
          <w:sz w:val="24"/>
        </w:rPr>
        <w:t xml:space="preserve"> 其它</w:t>
      </w:r>
    </w:p>
    <w:p>
      <w:pPr>
        <w:spacing w:line="360" w:lineRule="auto"/>
        <w:ind w:left="38"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本合同经双方法定代表人（负责人）或授权代表签字并加盖单位公章后生效。</w:t>
      </w:r>
    </w:p>
    <w:p>
      <w:pPr>
        <w:spacing w:line="360" w:lineRule="auto"/>
        <w:ind w:left="38"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一方当事人未经另外一方书面同意，不得将其在合同项下的权利和义务全部或部分转让给第三人。</w:t>
      </w:r>
    </w:p>
    <w:p>
      <w:pPr>
        <w:spacing w:line="360" w:lineRule="auto"/>
        <w:ind w:left="38"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本合同正本</w:t>
      </w:r>
      <w:r>
        <w:rPr>
          <w:rFonts w:hint="eastAsia" w:ascii="宋体" w:hAnsi="宋体"/>
          <w:sz w:val="24"/>
        </w:rPr>
        <w:t>一式四</w:t>
      </w:r>
      <w:r>
        <w:rPr>
          <w:rFonts w:ascii="宋体" w:hAnsi="宋体"/>
          <w:sz w:val="24"/>
        </w:rPr>
        <w:t>份，甲乙双方各执</w:t>
      </w:r>
      <w:r>
        <w:rPr>
          <w:rFonts w:hint="eastAsia" w:ascii="宋体" w:hAnsi="宋体"/>
          <w:sz w:val="24"/>
        </w:rPr>
        <w:t>两</w:t>
      </w:r>
      <w:r>
        <w:rPr>
          <w:rFonts w:ascii="宋体" w:hAnsi="宋体"/>
          <w:sz w:val="24"/>
        </w:rPr>
        <w:t>份，每份正本具有同等法律效力。</w:t>
      </w:r>
    </w:p>
    <w:p>
      <w:pPr>
        <w:spacing w:line="360" w:lineRule="auto"/>
        <w:ind w:left="38"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本合同中的附件均为本合同不可分割的部分，与本合同具有相同的法律效力。</w:t>
      </w:r>
    </w:p>
    <w:p>
      <w:pPr>
        <w:spacing w:line="360" w:lineRule="auto"/>
        <w:ind w:left="38" w:firstLine="480" w:firstLineChars="200"/>
        <w:rPr>
          <w:rFonts w:ascii="宋体" w:hAnsi="宋体"/>
          <w:sz w:val="24"/>
        </w:rPr>
      </w:pPr>
    </w:p>
    <w:p>
      <w:pPr>
        <w:spacing w:line="360" w:lineRule="auto"/>
        <w:ind w:left="38" w:firstLine="480" w:firstLineChars="200"/>
        <w:rPr>
          <w:rFonts w:ascii="宋体" w:hAnsi="宋体"/>
        </w:rPr>
      </w:pPr>
      <w:r>
        <w:rPr>
          <w:rFonts w:hint="eastAsia" w:ascii="宋体" w:hAnsi="宋体"/>
          <w:sz w:val="24"/>
        </w:rPr>
        <w:t>（以下无正文）</w:t>
      </w:r>
    </w:p>
    <w:p>
      <w:pPr>
        <w:snapToGrid w:val="0"/>
        <w:spacing w:line="360" w:lineRule="auto"/>
        <w:rPr>
          <w:rFonts w:ascii="宋体" w:hAnsi="宋体"/>
          <w:sz w:val="24"/>
        </w:rPr>
      </w:pPr>
    </w:p>
    <w:p>
      <w:pPr>
        <w:snapToGrid w:val="0"/>
        <w:spacing w:line="360" w:lineRule="auto"/>
        <w:rPr>
          <w:rFonts w:ascii="宋体" w:hAnsi="宋体"/>
          <w:sz w:val="24"/>
        </w:rPr>
      </w:pPr>
    </w:p>
    <w:p>
      <w:pPr>
        <w:pStyle w:val="71"/>
        <w:snapToGrid w:val="0"/>
        <w:ind w:firstLine="420"/>
        <w:rPr>
          <w:rFonts w:hint="eastAsia" w:ascii="宋体" w:hAnsi="宋体"/>
          <w:sz w:val="24"/>
        </w:rPr>
      </w:pPr>
    </w:p>
    <w:p>
      <w:pPr>
        <w:snapToGrid w:val="0"/>
        <w:spacing w:line="360" w:lineRule="auto"/>
        <w:rPr>
          <w:rFonts w:ascii="宋体" w:hAnsi="宋体"/>
          <w:sz w:val="24"/>
        </w:rPr>
      </w:pPr>
      <w:r>
        <w:rPr>
          <w:rFonts w:hint="eastAsia" w:ascii="宋体" w:hAnsi="宋体"/>
          <w:sz w:val="24"/>
        </w:rPr>
        <w:t xml:space="preserve">甲方：国家体育总局           </w:t>
      </w:r>
      <w:r>
        <w:rPr>
          <w:rFonts w:ascii="宋体" w:hAnsi="宋体"/>
          <w:sz w:val="24"/>
        </w:rPr>
        <w:t xml:space="preserve">   </w:t>
      </w:r>
      <w:r>
        <w:rPr>
          <w:rFonts w:hint="eastAsia" w:ascii="宋体" w:hAnsi="宋体"/>
          <w:sz w:val="24"/>
        </w:rPr>
        <w:t xml:space="preserve">          乙方：</w:t>
      </w:r>
      <w:r>
        <w:rPr>
          <w:rFonts w:ascii="宋体" w:hAnsi="宋体"/>
          <w:sz w:val="24"/>
        </w:rPr>
        <w:t xml:space="preserve"> </w:t>
      </w:r>
    </w:p>
    <w:p>
      <w:pPr>
        <w:snapToGrid w:val="0"/>
        <w:spacing w:line="360" w:lineRule="auto"/>
        <w:ind w:left="4800" w:hanging="4800" w:hangingChars="2000"/>
        <w:rPr>
          <w:rFonts w:ascii="宋体" w:hAnsi="宋体"/>
          <w:sz w:val="24"/>
        </w:rPr>
      </w:pPr>
    </w:p>
    <w:p>
      <w:pPr>
        <w:snapToGrid w:val="0"/>
        <w:spacing w:line="360" w:lineRule="auto"/>
        <w:rPr>
          <w:rFonts w:ascii="宋体" w:hAnsi="宋体"/>
          <w:sz w:val="24"/>
        </w:rPr>
      </w:pPr>
      <w:r>
        <w:rPr>
          <w:rFonts w:hint="eastAsia" w:ascii="宋体" w:hAnsi="宋体"/>
          <w:sz w:val="24"/>
        </w:rPr>
        <w:t>（盖章）                                  （盖章）</w:t>
      </w: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代表签字：                                 代表签字：</w:t>
      </w:r>
    </w:p>
    <w:p>
      <w:pPr>
        <w:snapToGrid w:val="0"/>
        <w:spacing w:line="360" w:lineRule="auto"/>
        <w:rPr>
          <w:rFonts w:ascii="宋体" w:hAnsi="宋体"/>
          <w:sz w:val="24"/>
        </w:rPr>
      </w:pPr>
    </w:p>
    <w:p>
      <w:pPr>
        <w:snapToGrid w:val="0"/>
        <w:spacing w:line="360" w:lineRule="auto"/>
        <w:rPr>
          <w:rFonts w:ascii="宋体" w:hAnsi="宋体"/>
          <w:b/>
          <w:sz w:val="24"/>
        </w:rPr>
      </w:pPr>
      <w:r>
        <w:rPr>
          <w:rFonts w:hint="eastAsia" w:ascii="宋体" w:hAnsi="宋体"/>
          <w:sz w:val="24"/>
        </w:rPr>
        <w:t>日期：                                     日期：</w:t>
      </w:r>
    </w:p>
    <w:p>
      <w:pPr>
        <w:widowControl/>
        <w:jc w:val="left"/>
        <w:rPr>
          <w:rFonts w:ascii="宋体" w:hAnsi="宋体"/>
          <w:b/>
          <w:color w:val="000000" w:themeColor="text1"/>
          <w:sz w:val="36"/>
          <w:szCs w:val="36"/>
          <w14:textFill>
            <w14:solidFill>
              <w14:schemeClr w14:val="tx1"/>
            </w14:solidFill>
          </w14:textFill>
        </w:rPr>
      </w:pPr>
      <w:bookmarkStart w:id="39" w:name="_Toc1971788072"/>
      <w:r>
        <w:rPr>
          <w:rFonts w:hAnsi="宋体"/>
          <w:b/>
          <w:color w:val="000000" w:themeColor="text1"/>
          <w:sz w:val="36"/>
          <w:szCs w:val="36"/>
          <w14:textFill>
            <w14:solidFill>
              <w14:schemeClr w14:val="tx1"/>
            </w14:solidFill>
          </w14:textFill>
        </w:rPr>
        <w:br w:type="page"/>
      </w:r>
    </w:p>
    <w:p>
      <w:pPr>
        <w:pStyle w:val="16"/>
        <w:spacing w:before="120" w:after="120" w:line="360" w:lineRule="auto"/>
        <w:ind w:firstLine="640"/>
        <w:jc w:val="center"/>
        <w:outlineLvl w:val="0"/>
        <w:rPr>
          <w:rFonts w:ascii="仿宋" w:hAnsi="仿宋" w:eastAsia="仿宋"/>
          <w:b/>
          <w:color w:val="000000" w:themeColor="text1"/>
          <w:sz w:val="36"/>
          <w:szCs w:val="36"/>
          <w14:textFill>
            <w14:solidFill>
              <w14:schemeClr w14:val="tx1"/>
            </w14:solidFill>
          </w14:textFill>
        </w:rPr>
      </w:pPr>
      <w:bookmarkStart w:id="40" w:name="_Toc3434"/>
      <w:r>
        <w:rPr>
          <w:rFonts w:hint="eastAsia" w:hAnsi="宋体"/>
          <w:b/>
          <w:color w:val="000000" w:themeColor="text1"/>
          <w:sz w:val="36"/>
          <w:szCs w:val="36"/>
          <w14:textFill>
            <w14:solidFill>
              <w14:schemeClr w14:val="tx1"/>
            </w14:solidFill>
          </w14:textFill>
        </w:rPr>
        <w:t>第六章  投标文件格式附件</w:t>
      </w:r>
      <w:bookmarkEnd w:id="32"/>
      <w:bookmarkEnd w:id="39"/>
      <w:bookmarkEnd w:id="40"/>
    </w:p>
    <w:p>
      <w:pPr>
        <w:numPr>
          <w:ilvl w:val="5"/>
          <w:numId w:val="0"/>
        </w:numPr>
        <w:jc w:val="center"/>
        <w:rPr>
          <w:rFonts w:ascii="仿宋" w:hAnsi="仿宋" w:eastAsia="仿宋"/>
          <w:b/>
          <w:bCs/>
          <w:color w:val="000000" w:themeColor="text1"/>
          <w:sz w:val="24"/>
          <w:szCs w:val="24"/>
          <w14:textFill>
            <w14:solidFill>
              <w14:schemeClr w14:val="tx1"/>
            </w14:solidFill>
          </w14:textFill>
        </w:rPr>
      </w:pPr>
      <w:bookmarkStart w:id="41" w:name="_Toc32581647"/>
      <w:bookmarkStart w:id="42" w:name="_Toc125713437"/>
      <w:r>
        <w:rPr>
          <w:rFonts w:hint="eastAsia" w:ascii="仿宋" w:hAnsi="仿宋" w:eastAsia="仿宋"/>
          <w:b/>
          <w:bCs/>
          <w:color w:val="000000" w:themeColor="text1"/>
          <w:sz w:val="24"/>
          <w:szCs w:val="24"/>
          <w14:textFill>
            <w14:solidFill>
              <w14:schemeClr w14:val="tx1"/>
            </w14:solidFill>
          </w14:textFill>
        </w:rPr>
        <w:t>投标人提交文件须知</w:t>
      </w:r>
      <w:bookmarkEnd w:id="41"/>
      <w:bookmarkEnd w:id="42"/>
    </w:p>
    <w:p>
      <w:pPr>
        <w:spacing w:before="120" w:line="360" w:lineRule="auto"/>
        <w:ind w:firstLine="560" w:firstLineChars="200"/>
        <w:rPr>
          <w:rFonts w:ascii="仿宋" w:hAnsi="仿宋" w:eastAsia="仿宋"/>
          <w:sz w:val="28"/>
          <w:szCs w:val="28"/>
        </w:rPr>
      </w:pPr>
      <w:r>
        <w:rPr>
          <w:rFonts w:hint="eastAsia" w:ascii="仿宋" w:hAnsi="仿宋" w:eastAsia="仿宋"/>
          <w:sz w:val="28"/>
          <w:szCs w:val="28"/>
        </w:rPr>
        <w:t>1.投标人应严格按照以下顺序填写和提交下述规定的全部格式文件，招标文件规定提交的其他有关资料未给出格式文件的，由投标人自行设计编写。混乱的编排导致投标文件被误读或查找不到，后果由投标人承担。</w:t>
      </w:r>
    </w:p>
    <w:p>
      <w:pPr>
        <w:spacing w:before="120" w:line="360" w:lineRule="auto"/>
        <w:ind w:firstLine="560" w:firstLineChars="200"/>
        <w:rPr>
          <w:rFonts w:ascii="仿宋" w:hAnsi="仿宋" w:eastAsia="仿宋"/>
          <w:sz w:val="28"/>
          <w:szCs w:val="28"/>
        </w:rPr>
      </w:pPr>
      <w:r>
        <w:rPr>
          <w:rFonts w:hint="eastAsia" w:ascii="仿宋" w:hAnsi="仿宋" w:eastAsia="仿宋"/>
          <w:sz w:val="28"/>
          <w:szCs w:val="28"/>
        </w:rPr>
        <w:t>2.所附表格中要求回答的全部问题和信息都必须正面回答。</w:t>
      </w:r>
    </w:p>
    <w:p>
      <w:pPr>
        <w:spacing w:before="120" w:line="360" w:lineRule="auto"/>
        <w:ind w:firstLine="560" w:firstLineChars="200"/>
        <w:rPr>
          <w:rFonts w:ascii="仿宋" w:hAnsi="仿宋" w:eastAsia="仿宋"/>
          <w:sz w:val="28"/>
          <w:szCs w:val="28"/>
        </w:rPr>
      </w:pPr>
      <w:r>
        <w:rPr>
          <w:rFonts w:hint="eastAsia" w:ascii="仿宋" w:hAnsi="仿宋" w:eastAsia="仿宋"/>
          <w:sz w:val="28"/>
          <w:szCs w:val="28"/>
        </w:rPr>
        <w:t>3.本资格声明的签字人应保证全部声明和问题的回答是真实的和准确的。</w:t>
      </w:r>
    </w:p>
    <w:p>
      <w:pPr>
        <w:spacing w:before="120" w:line="360" w:lineRule="auto"/>
        <w:ind w:firstLine="560" w:firstLineChars="200"/>
        <w:rPr>
          <w:rFonts w:ascii="仿宋" w:hAnsi="仿宋" w:eastAsia="仿宋"/>
          <w:sz w:val="28"/>
          <w:szCs w:val="28"/>
        </w:rPr>
      </w:pPr>
      <w:r>
        <w:rPr>
          <w:rFonts w:hint="eastAsia" w:ascii="仿宋" w:hAnsi="仿宋" w:eastAsia="仿宋"/>
          <w:sz w:val="28"/>
          <w:szCs w:val="28"/>
        </w:rPr>
        <w:t>4.评标委员会将应用投标人提交的资料并根据自己的判断，决定投标人履行合同的合格性及能力。</w:t>
      </w:r>
    </w:p>
    <w:p>
      <w:pPr>
        <w:spacing w:before="120" w:line="360" w:lineRule="auto"/>
        <w:ind w:firstLine="560" w:firstLineChars="200"/>
        <w:rPr>
          <w:rFonts w:ascii="仿宋" w:hAnsi="仿宋" w:eastAsia="仿宋"/>
          <w:sz w:val="28"/>
          <w:szCs w:val="28"/>
        </w:rPr>
      </w:pPr>
      <w:r>
        <w:rPr>
          <w:rFonts w:hint="eastAsia" w:ascii="仿宋" w:hAnsi="仿宋" w:eastAsia="仿宋"/>
          <w:sz w:val="28"/>
          <w:szCs w:val="28"/>
        </w:rPr>
        <w:t>5.投标人提交的材料将被保密保存，但不退还。</w:t>
      </w:r>
    </w:p>
    <w:p>
      <w:pPr>
        <w:spacing w:before="120" w:line="360" w:lineRule="auto"/>
        <w:ind w:firstLine="560" w:firstLineChars="200"/>
        <w:rPr>
          <w:rFonts w:ascii="仿宋" w:hAnsi="仿宋" w:eastAsia="仿宋"/>
          <w:sz w:val="28"/>
          <w:szCs w:val="28"/>
        </w:rPr>
      </w:pPr>
      <w:r>
        <w:rPr>
          <w:rFonts w:hint="eastAsia" w:ascii="仿宋" w:hAnsi="仿宋" w:eastAsia="仿宋"/>
          <w:sz w:val="28"/>
          <w:szCs w:val="28"/>
        </w:rPr>
        <w:t>6.全部文件应按投标人须知中规定的语言和份数提交。</w:t>
      </w:r>
    </w:p>
    <w:p>
      <w:pPr>
        <w:jc w:val="lef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br w:type="page"/>
      </w:r>
    </w:p>
    <w:p>
      <w:pPr>
        <w:snapToGrid w:val="0"/>
        <w:spacing w:before="120" w:beforeLines="50" w:line="460" w:lineRule="exact"/>
        <w:jc w:val="left"/>
        <w:rPr>
          <w:rFonts w:ascii="仿宋" w:hAnsi="仿宋" w:eastAsia="仿宋"/>
          <w:color w:val="000000" w:themeColor="text1"/>
          <w:spacing w:val="40"/>
          <w:sz w:val="52"/>
          <w:szCs w:val="52"/>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p>
    <w:p>
      <w:pPr>
        <w:ind w:right="-110"/>
        <w:rPr>
          <w:rFonts w:ascii="仿宋" w:hAnsi="仿宋" w:eastAsia="仿宋"/>
          <w:color w:val="000000" w:themeColor="text1"/>
          <w:spacing w:val="40"/>
          <w:sz w:val="52"/>
          <w:szCs w:val="52"/>
          <w14:textFill>
            <w14:solidFill>
              <w14:schemeClr w14:val="tx1"/>
            </w14:solidFill>
          </w14:textFill>
        </w:rPr>
      </w:pPr>
    </w:p>
    <w:p>
      <w:pPr>
        <w:ind w:right="-110"/>
        <w:jc w:val="center"/>
        <w:rPr>
          <w:rFonts w:ascii="仿宋" w:hAnsi="仿宋" w:eastAsia="仿宋"/>
          <w:color w:val="000000" w:themeColor="text1"/>
          <w:spacing w:val="40"/>
          <w:sz w:val="52"/>
          <w:szCs w:val="52"/>
          <w14:textFill>
            <w14:solidFill>
              <w14:schemeClr w14:val="tx1"/>
            </w14:solidFill>
          </w14:textFill>
        </w:rPr>
      </w:pPr>
      <w:r>
        <w:rPr>
          <w:rFonts w:hint="eastAsia" w:ascii="仿宋" w:hAnsi="仿宋" w:eastAsia="仿宋"/>
          <w:color w:val="000000" w:themeColor="text1"/>
          <w:spacing w:val="40"/>
          <w:sz w:val="52"/>
          <w:szCs w:val="52"/>
          <w14:textFill>
            <w14:solidFill>
              <w14:schemeClr w14:val="tx1"/>
            </w14:solidFill>
          </w14:textFill>
        </w:rPr>
        <w:t>项目名称</w:t>
      </w:r>
    </w:p>
    <w:p>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项目编号：（标项 ）</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开标一览表</w:t>
      </w:r>
    </w:p>
    <w:p>
      <w:pPr>
        <w:snapToGrid w:val="0"/>
        <w:spacing w:before="120" w:beforeLines="50" w:line="460" w:lineRule="exact"/>
        <w:ind w:firstLine="550" w:firstLineChars="196"/>
        <w:jc w:val="left"/>
        <w:rPr>
          <w:rFonts w:ascii="仿宋" w:hAnsi="仿宋" w:eastAsia="仿宋"/>
          <w:b/>
          <w:color w:val="000000" w:themeColor="text1"/>
          <w:sz w:val="28"/>
          <w:szCs w:val="28"/>
          <w14:textFill>
            <w14:solidFill>
              <w14:schemeClr w14:val="tx1"/>
            </w14:solidFill>
          </w14:textFill>
        </w:rPr>
      </w:pPr>
    </w:p>
    <w:tbl>
      <w:tblPr>
        <w:tblStyle w:val="28"/>
        <w:tblpPr w:leftFromText="180" w:rightFromText="180" w:vertAnchor="text" w:horzAnchor="margin" w:tblpXSpec="center" w:tblpY="219"/>
        <w:tblW w:w="84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44"/>
        <w:gridCol w:w="4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exact"/>
        </w:trPr>
        <w:tc>
          <w:tcPr>
            <w:tcW w:w="3744" w:type="dxa"/>
            <w:tcBorders>
              <w:top w:val="single" w:color="000000" w:sz="4" w:space="0"/>
              <w:left w:val="single" w:color="000000" w:sz="4" w:space="0"/>
              <w:bottom w:val="single" w:color="000000" w:sz="4" w:space="0"/>
              <w:right w:val="single" w:color="000000" w:sz="4" w:space="0"/>
            </w:tcBorders>
            <w:vAlign w:val="center"/>
          </w:tcPr>
          <w:p>
            <w:pPr>
              <w:spacing w:before="12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投标总价（已优惠或折扣后）</w:t>
            </w:r>
          </w:p>
        </w:tc>
        <w:tc>
          <w:tcPr>
            <w:tcW w:w="4719" w:type="dxa"/>
            <w:tcBorders>
              <w:top w:val="single" w:color="000000" w:sz="4" w:space="0"/>
              <w:left w:val="single" w:color="000000" w:sz="4" w:space="0"/>
              <w:bottom w:val="single" w:color="000000" w:sz="4" w:space="0"/>
              <w:right w:val="single" w:color="000000" w:sz="4" w:space="0"/>
            </w:tcBorders>
            <w:vAlign w:val="center"/>
          </w:tcPr>
          <w:p>
            <w:pPr>
              <w:spacing w:before="120" w:line="360" w:lineRule="auto"/>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是否可以完全响应采购人对提供服务的时间要求</w:t>
            </w:r>
            <w:r>
              <w:rPr>
                <w:rFonts w:hint="eastAsia" w:ascii="仿宋" w:hAnsi="仿宋" w:eastAsia="仿宋"/>
                <w:color w:val="000000" w:themeColor="text1"/>
                <w:sz w:val="28"/>
                <w:szCs w:val="28"/>
                <w14:textFill>
                  <w14:solidFill>
                    <w14:schemeClr w14:val="tx1"/>
                  </w14:solidFill>
                </w14:textFill>
              </w:rPr>
              <w:t>（填写“是”或“否”）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4" w:hRule="exact"/>
        </w:trPr>
        <w:tc>
          <w:tcPr>
            <w:tcW w:w="3744" w:type="dxa"/>
            <w:tcBorders>
              <w:top w:val="single" w:color="000000" w:sz="4" w:space="0"/>
              <w:left w:val="single" w:color="000000" w:sz="4" w:space="0"/>
              <w:bottom w:val="single" w:color="000000" w:sz="4" w:space="0"/>
              <w:right w:val="single" w:color="000000" w:sz="4" w:space="0"/>
            </w:tcBorders>
          </w:tcPr>
          <w:p>
            <w:pPr>
              <w:jc w:val="center"/>
              <w:rPr>
                <w:color w:val="000000" w:themeColor="text1"/>
                <w:szCs w:val="21"/>
                <w14:textFill>
                  <w14:solidFill>
                    <w14:schemeClr w14:val="tx1"/>
                  </w14:solidFill>
                </w14:textFill>
              </w:rPr>
            </w:pPr>
          </w:p>
        </w:tc>
        <w:tc>
          <w:tcPr>
            <w:tcW w:w="4719" w:type="dxa"/>
            <w:tcBorders>
              <w:top w:val="single" w:color="000000" w:sz="4" w:space="0"/>
              <w:left w:val="single" w:color="000000" w:sz="4" w:space="0"/>
              <w:bottom w:val="single" w:color="000000" w:sz="4" w:space="0"/>
              <w:right w:val="single" w:color="000000" w:sz="4" w:space="0"/>
            </w:tcBorders>
          </w:tcPr>
          <w:p>
            <w:pPr>
              <w:jc w:val="center"/>
              <w:rPr>
                <w:color w:val="000000" w:themeColor="text1"/>
                <w:szCs w:val="21"/>
                <w14:textFill>
                  <w14:solidFill>
                    <w14:schemeClr w14:val="tx1"/>
                  </w14:solidFill>
                </w14:textFill>
              </w:rPr>
            </w:pPr>
          </w:p>
        </w:tc>
      </w:tr>
    </w:tbl>
    <w:p>
      <w:pPr>
        <w:spacing w:before="120" w:beforeLines="50"/>
        <w:rPr>
          <w:rFonts w:ascii="方正仿宋_GBK" w:hAnsi="方正仿宋_GBK" w:eastAsia="方正仿宋_GBK" w:cs="方正仿宋_GBK"/>
          <w:b/>
          <w:bCs/>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说明：开标一览表中的“投标总价”应是本项目投标货物的全部费用的报价，包括但不限于以下费用：服务</w:t>
      </w:r>
      <w:r>
        <w:rPr>
          <w:rFonts w:hint="eastAsia" w:ascii="方正仿宋_GBK" w:hAnsi="方正仿宋_GBK" w:eastAsia="方正仿宋_GBK" w:cs="方正仿宋_GBK"/>
          <w:color w:val="000000"/>
          <w:sz w:val="22"/>
          <w:szCs w:val="24"/>
        </w:rPr>
        <w:t>费用、设备运输安装费用、税费</w:t>
      </w:r>
      <w:r>
        <w:rPr>
          <w:rFonts w:hint="eastAsia" w:ascii="方正仿宋_GBK" w:hAnsi="方正仿宋_GBK" w:eastAsia="方正仿宋_GBK" w:cs="方正仿宋_GBK"/>
          <w:color w:val="000000"/>
          <w:sz w:val="22"/>
        </w:rPr>
        <w:t>及其他所有相关费用的总和</w:t>
      </w: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b/>
          <w:bCs/>
          <w:color w:val="000000" w:themeColor="text1"/>
          <w:sz w:val="22"/>
          <w14:textFill>
            <w14:solidFill>
              <w14:schemeClr w14:val="tx1"/>
            </w14:solidFill>
          </w14:textFill>
        </w:rPr>
        <w:t>如项目为电子投标，该表不需要单独提供，只需按要求在政采云平台填写即可。</w:t>
      </w:r>
    </w:p>
    <w:p>
      <w:pPr>
        <w:spacing w:before="120" w:beforeLines="50"/>
        <w:rPr>
          <w:rFonts w:ascii="方正仿宋_GBK" w:hAnsi="方正仿宋_GBK" w:eastAsia="方正仿宋_GBK" w:cs="方正仿宋_GBK"/>
          <w:color w:val="000000" w:themeColor="text1"/>
          <w:sz w:val="22"/>
          <w14:textFill>
            <w14:solidFill>
              <w14:schemeClr w14:val="tx1"/>
            </w14:solidFill>
          </w14:textFill>
        </w:rPr>
      </w:pPr>
    </w:p>
    <w:p>
      <w:pPr>
        <w:spacing w:before="120" w:beforeLines="50" w:line="360" w:lineRule="auto"/>
        <w:rPr>
          <w:rFonts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投标总价大写金额：</w:t>
      </w:r>
      <w:r>
        <w:rPr>
          <w:rFonts w:hint="eastAsia" w:ascii="方正仿宋_GBK" w:hAnsi="方正仿宋_GBK" w:eastAsia="方正仿宋_GBK" w:cs="方正仿宋_GBK"/>
          <w:color w:val="000000" w:themeColor="text1"/>
          <w:sz w:val="22"/>
          <w:u w:val="single"/>
          <w14:textFill>
            <w14:solidFill>
              <w14:schemeClr w14:val="tx1"/>
            </w14:solidFill>
          </w14:textFill>
        </w:rPr>
        <w:t xml:space="preserve">                                        </w:t>
      </w:r>
    </w:p>
    <w:p>
      <w:pPr>
        <w:spacing w:line="360" w:lineRule="auto"/>
        <w:rPr>
          <w:rFonts w:ascii="方正仿宋_GBK" w:hAnsi="方正仿宋_GBK" w:eastAsia="方正仿宋_GBK" w:cs="方正仿宋_GBK"/>
          <w:color w:val="000000" w:themeColor="text1"/>
          <w:sz w:val="22"/>
          <w:u w:val="single"/>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特别说明事项：</w:t>
      </w:r>
      <w:r>
        <w:rPr>
          <w:rFonts w:hint="eastAsia" w:ascii="方正仿宋_GBK" w:hAnsi="方正仿宋_GBK" w:eastAsia="方正仿宋_GBK" w:cs="方正仿宋_GBK"/>
          <w:color w:val="000000" w:themeColor="text1"/>
          <w:sz w:val="22"/>
          <w:u w:val="single"/>
          <w14:textFill>
            <w14:solidFill>
              <w14:schemeClr w14:val="tx1"/>
            </w14:solidFill>
          </w14:textFill>
        </w:rPr>
        <w:t xml:space="preserve">                                            </w:t>
      </w:r>
    </w:p>
    <w:p>
      <w:pPr>
        <w:spacing w:line="360" w:lineRule="auto"/>
        <w:rPr>
          <w:rFonts w:ascii="方正仿宋_GBK" w:hAnsi="方正仿宋_GBK" w:eastAsia="方正仿宋_GBK" w:cs="方正仿宋_GBK"/>
          <w:color w:val="000000" w:themeColor="text1"/>
          <w:sz w:val="22"/>
          <w:u w:val="single"/>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投标人全称（公章）：</w:t>
      </w:r>
      <w:r>
        <w:rPr>
          <w:rFonts w:hint="eastAsia" w:ascii="方正仿宋_GBK" w:hAnsi="方正仿宋_GBK" w:eastAsia="方正仿宋_GBK" w:cs="方正仿宋_GBK"/>
          <w:color w:val="000000" w:themeColor="text1"/>
          <w:sz w:val="22"/>
          <w:u w:val="single"/>
          <w14:textFill>
            <w14:solidFill>
              <w14:schemeClr w14:val="tx1"/>
            </w14:solidFill>
          </w14:textFill>
        </w:rPr>
        <w:t xml:space="preserve">                                       </w:t>
      </w:r>
    </w:p>
    <w:p>
      <w:pPr>
        <w:spacing w:line="360" w:lineRule="auto"/>
        <w:jc w:val="left"/>
        <w:rPr>
          <w:rFonts w:ascii="方正仿宋_GBK" w:hAnsi="方正仿宋_GBK" w:eastAsia="方正仿宋_GBK" w:cs="方正仿宋_GBK"/>
          <w:color w:val="000000" w:themeColor="text1"/>
          <w:sz w:val="22"/>
          <w:szCs w:val="24"/>
          <w14:textFill>
            <w14:solidFill>
              <w14:schemeClr w14:val="tx1"/>
            </w14:solidFill>
          </w14:textFill>
        </w:rPr>
      </w:pPr>
      <w:r>
        <w:rPr>
          <w:rFonts w:hint="eastAsia" w:ascii="方正仿宋_GBK" w:hAnsi="方正仿宋_GBK" w:eastAsia="方正仿宋_GBK" w:cs="方正仿宋_GBK"/>
          <w:color w:val="000000" w:themeColor="text1"/>
          <w:sz w:val="22"/>
          <w:szCs w:val="24"/>
          <w14:textFill>
            <w14:solidFill>
              <w14:schemeClr w14:val="tx1"/>
            </w14:solidFill>
          </w14:textFill>
        </w:rPr>
        <w:t>法定代表人或授权的投标人代表签字：</w:t>
      </w:r>
      <w:r>
        <w:rPr>
          <w:rFonts w:hint="eastAsia" w:ascii="方正仿宋_GBK" w:hAnsi="方正仿宋_GBK" w:eastAsia="方正仿宋_GBK" w:cs="方正仿宋_GBK"/>
          <w:color w:val="000000" w:themeColor="text1"/>
          <w:sz w:val="2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2"/>
          <w:szCs w:val="24"/>
          <w14:textFill>
            <w14:solidFill>
              <w14:schemeClr w14:val="tx1"/>
            </w14:solidFill>
          </w14:textFill>
        </w:rPr>
        <w:t xml:space="preserve">    </w:t>
      </w:r>
    </w:p>
    <w:p>
      <w:pPr>
        <w:spacing w:line="360" w:lineRule="auto"/>
        <w:jc w:val="left"/>
        <w:rPr>
          <w:rFonts w:ascii="方正仿宋_GBK" w:hAnsi="方正仿宋_GBK" w:eastAsia="方正仿宋_GBK" w:cs="方正仿宋_GBK"/>
          <w:color w:val="000000" w:themeColor="text1"/>
          <w:sz w:val="22"/>
          <w:u w:val="single"/>
          <w14:textFill>
            <w14:solidFill>
              <w14:schemeClr w14:val="tx1"/>
            </w14:solidFill>
          </w14:textFill>
        </w:rPr>
      </w:pPr>
      <w:r>
        <w:rPr>
          <w:rFonts w:hint="eastAsia" w:ascii="方正仿宋_GBK" w:hAnsi="方正仿宋_GBK" w:eastAsia="方正仿宋_GBK" w:cs="方正仿宋_GBK"/>
          <w:color w:val="000000" w:themeColor="text1"/>
          <w:sz w:val="22"/>
          <w:szCs w:val="24"/>
          <w14:textFill>
            <w14:solidFill>
              <w14:schemeClr w14:val="tx1"/>
            </w14:solidFill>
          </w14:textFill>
        </w:rPr>
        <w:t>日期：</w:t>
      </w:r>
      <w:r>
        <w:rPr>
          <w:rFonts w:hint="eastAsia" w:ascii="方正仿宋_GBK" w:hAnsi="方正仿宋_GBK" w:eastAsia="方正仿宋_GBK" w:cs="方正仿宋_GBK"/>
          <w:color w:val="000000" w:themeColor="text1"/>
          <w:sz w:val="22"/>
          <w:u w:val="single"/>
          <w14:textFill>
            <w14:solidFill>
              <w14:schemeClr w14:val="tx1"/>
            </w14:solidFill>
          </w14:textFill>
        </w:rPr>
        <w:t xml:space="preserve">                              </w:t>
      </w:r>
    </w:p>
    <w:p>
      <w:pPr>
        <w:pStyle w:val="16"/>
        <w:numPr>
          <w:ins w:id="6" w:author="sport" w:date=""/>
        </w:numPr>
        <w:adjustRightInd w:val="0"/>
        <w:snapToGrid w:val="0"/>
        <w:spacing w:before="120" w:after="120" w:line="460" w:lineRule="exact"/>
        <w:rPr>
          <w:rFonts w:ascii="方正仿宋_GBK" w:hAnsi="方正仿宋_GBK" w:eastAsia="方正仿宋_GBK" w:cs="方正仿宋_GBK"/>
          <w:b/>
          <w:bCs/>
        </w:rPr>
      </w:pPr>
    </w:p>
    <w:p>
      <w:pPr>
        <w:pStyle w:val="16"/>
        <w:numPr>
          <w:ins w:id="7" w:author="sport" w:date=""/>
        </w:numPr>
        <w:adjustRightInd w:val="0"/>
        <w:snapToGrid w:val="0"/>
        <w:spacing w:before="120" w:after="120" w:line="460" w:lineRule="exact"/>
        <w:rPr>
          <w:b/>
          <w:bCs/>
        </w:rPr>
      </w:pPr>
    </w:p>
    <w:p>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附件2</w:t>
      </w:r>
      <w:r>
        <w:rPr>
          <w:rFonts w:hint="eastAsia" w:ascii="仿宋" w:hAnsi="仿宋" w:eastAsia="仿宋"/>
          <w:b/>
          <w:color w:val="000000" w:themeColor="text1"/>
          <w:sz w:val="30"/>
          <w:szCs w:val="30"/>
          <w14:textFill>
            <w14:solidFill>
              <w14:schemeClr w14:val="tx1"/>
            </w14:solidFill>
          </w14:textFill>
        </w:rPr>
        <w:t xml:space="preserve">：                                       </w:t>
      </w:r>
      <w:r>
        <w:rPr>
          <w:rFonts w:hint="eastAsia" w:ascii="仿宋" w:hAnsi="仿宋" w:eastAsia="仿宋"/>
          <w:bCs/>
          <w:color w:val="000000" w:themeColor="text1"/>
          <w:sz w:val="30"/>
          <w:szCs w:val="30"/>
          <w14:textFill>
            <w14:solidFill>
              <w14:schemeClr w14:val="tx1"/>
            </w14:solidFill>
          </w14:textFill>
        </w:rPr>
        <w:t>正本或副本</w:t>
      </w:r>
    </w:p>
    <w:p>
      <w:pPr>
        <w:snapToGrid w:val="0"/>
        <w:spacing w:before="120" w:beforeLines="50" w:after="50"/>
        <w:jc w:val="right"/>
        <w:rPr>
          <w:rFonts w:ascii="仿宋" w:hAnsi="仿宋" w:eastAsia="仿宋"/>
          <w:bCs/>
          <w:color w:val="000000" w:themeColor="text1"/>
          <w:sz w:val="30"/>
          <w:szCs w:val="30"/>
          <w14:textFill>
            <w14:solidFill>
              <w14:schemeClr w14:val="tx1"/>
            </w14:solidFill>
          </w14:textFill>
        </w:rPr>
      </w:pPr>
    </w:p>
    <w:p>
      <w:pPr>
        <w:ind w:right="-110"/>
        <w:jc w:val="center"/>
        <w:rPr>
          <w:rFonts w:ascii="仿宋" w:hAnsi="仿宋" w:eastAsia="仿宋"/>
          <w:color w:val="000000" w:themeColor="text1"/>
          <w:spacing w:val="40"/>
          <w:sz w:val="52"/>
          <w:szCs w:val="52"/>
          <w14:textFill>
            <w14:solidFill>
              <w14:schemeClr w14:val="tx1"/>
            </w14:solidFill>
          </w14:textFill>
        </w:rPr>
      </w:pPr>
      <w:r>
        <w:rPr>
          <w:rFonts w:hint="eastAsia" w:ascii="仿宋" w:hAnsi="仿宋" w:eastAsia="仿宋"/>
          <w:color w:val="000000" w:themeColor="text1"/>
          <w:spacing w:val="40"/>
          <w:sz w:val="52"/>
          <w:szCs w:val="52"/>
          <w14:textFill>
            <w14:solidFill>
              <w14:schemeClr w14:val="tx1"/>
            </w14:solidFill>
          </w14:textFill>
        </w:rPr>
        <w:t>项目名称</w:t>
      </w:r>
    </w:p>
    <w:p>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项目编号：（标项  ）</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质</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pPr>
        <w:spacing w:line="500" w:lineRule="exact"/>
        <w:ind w:right="532"/>
        <w:rPr>
          <w:rFonts w:ascii="仿宋" w:hAnsi="仿宋" w:eastAsia="仿宋"/>
          <w:color w:val="000000" w:themeColor="text1"/>
          <w:sz w:val="36"/>
          <w:szCs w:val="36"/>
          <w14:textFill>
            <w14:solidFill>
              <w14:schemeClr w14:val="tx1"/>
            </w14:solidFill>
          </w14:textFill>
        </w:rPr>
      </w:pPr>
    </w:p>
    <w:p>
      <w:pPr>
        <w:pStyle w:val="59"/>
        <w:spacing w:line="360" w:lineRule="auto"/>
        <w:rPr>
          <w:rFonts w:ascii="方正仿宋_GBK" w:hAnsi="方正仿宋_GBK" w:eastAsia="方正仿宋_GBK" w:cs="方正仿宋_GBK"/>
          <w:color w:val="000000" w:themeColor="text1"/>
          <w:sz w:val="28"/>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投标人全称：（加盖单位公章）</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法定代表人印刷体姓名：    签字（或签名章）：</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授权投标代表印刷体姓名：  签字：</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投标人地址：   </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邮编：</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联系电话：  </w:t>
      </w:r>
    </w:p>
    <w:p>
      <w:pPr>
        <w:pStyle w:val="59"/>
        <w:snapToGrid w:val="0"/>
        <w:spacing w:before="120" w:beforeLines="50" w:line="360" w:lineRule="auto"/>
        <w:rPr>
          <w:rFonts w:ascii="仿宋" w:hAnsi="仿宋" w:eastAsia="仿宋"/>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开标时间：  </w:t>
      </w:r>
      <w:r>
        <w:rPr>
          <w:rFonts w:ascii="仿宋" w:hAnsi="仿宋" w:eastAsia="仿宋"/>
          <w:b/>
          <w:color w:val="000000" w:themeColor="text1"/>
          <w:sz w:val="36"/>
          <w:szCs w:val="36"/>
          <w14:textFill>
            <w14:solidFill>
              <w14:schemeClr w14:val="tx1"/>
            </w14:solidFill>
          </w14:textFill>
        </w:rPr>
        <w:br w:type="page"/>
      </w:r>
      <w:r>
        <w:rPr>
          <w:rFonts w:hint="eastAsia" w:ascii="仿宋" w:hAnsi="仿宋" w:eastAsia="仿宋"/>
          <w:b/>
          <w:color w:val="000000" w:themeColor="text1"/>
          <w:sz w:val="36"/>
          <w:szCs w:val="36"/>
          <w14:textFill>
            <w14:solidFill>
              <w14:schemeClr w14:val="tx1"/>
            </w14:solidFill>
          </w14:textFill>
        </w:rPr>
        <w:t>1、</w:t>
      </w:r>
      <w:r>
        <w:rPr>
          <w:rFonts w:hint="eastAsia" w:ascii="仿宋" w:hAnsi="仿宋" w:eastAsia="仿宋"/>
          <w:b/>
          <w:bCs/>
          <w:color w:val="000000" w:themeColor="text1"/>
          <w:sz w:val="36"/>
          <w:szCs w:val="36"/>
          <w14:textFill>
            <w14:solidFill>
              <w14:schemeClr w14:val="tx1"/>
            </w14:solidFill>
          </w14:textFill>
        </w:rPr>
        <w:t>资质文件目录</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（1）投标声明书(格式见附件，含重大违法记录声明)，如为联合体形式投标，则联合体中各方均出具该文件；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（2）法定代表人证明书或授权委托书(格式见附件，若为联合体形式投标，则须出具联合投标授权委托书，联合体各方均盖章确认)；</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提供有效的营业执照复印件并加盖公司公章；事业单位的，则提供有效的《事业单位法人证书》副本复印件并加盖单位公章；自然人的，则提供有效的身份证复印件并签字。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提供有效的依法缴纳税收证明（至投标文件递交截止日一年内任意一个月的完税凭证或税务部门出具的证明，非个人所得税），依法免税的投标人须提供相应文件证明其依法免税。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提供有效的依法缴纳社会保障资金证明（至投标文件递交截止日一年内任意一个月的缴纳凭证或人社部门出具的证明），依法不需要缴纳社会保障资金的投标人，须提供相应文件证明其不需要缴纳社会保障资金；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投标人基本开户银行出具的资信证明，或参与本采购项目两年内（2023或2024年度）任意一年经审计的财务报告复印件，须包括“四表一注”：资产负债表、利润表、现金流量表、所有者权益变动表及其附注（如“四表一注”在合法合规前提下有缺少的情况，须提供出具相应审计报告的审计机构加盖公章的情况说明函），或财政部门认可的专业担保机构出具的针对本项目的投标担保函；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提供与本投标人单位负责人为同一人或者存在直接控股、管理关系的不同单位（主体）的清单；如投标人无此类关联单位（主体），则需作出声明承诺。如为联合体形式投标，则联合体中各方均出具该文件；</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（8）中小企业声明函（见附件，若需要）；</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（9）联合投标协议书（以联合体形式投标时须提供，格式自拟）;</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（10）提供采购公告中符合投标人特定条件要求的有效的其他资质复印件并加盖公章及需要说明的资料（若需要）。</w:t>
      </w:r>
    </w:p>
    <w:p>
      <w:pPr>
        <w:snapToGrid w:val="0"/>
        <w:spacing w:line="460" w:lineRule="exact"/>
        <w:ind w:firstLine="548" w:firstLineChars="196"/>
        <w:jc w:val="left"/>
        <w:rPr>
          <w:rFonts w:ascii="仿宋" w:hAnsi="仿宋" w:eastAsia="仿宋"/>
          <w:color w:val="000000" w:themeColor="text1"/>
          <w:sz w:val="28"/>
          <w:szCs w:val="28"/>
          <w14:textFill>
            <w14:solidFill>
              <w14:schemeClr w14:val="tx1"/>
            </w14:solidFill>
          </w14:textFill>
        </w:rPr>
      </w:pPr>
    </w:p>
    <w:p>
      <w:pPr>
        <w:widowControl/>
        <w:jc w:val="lef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br w:type="page"/>
      </w: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附件3：</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声 明 书</w:t>
      </w:r>
    </w:p>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致国家体育总局体育器材装备中心：</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u w:val="single"/>
          <w14:textFill>
            <w14:solidFill>
              <w14:schemeClr w14:val="tx1"/>
            </w14:solidFill>
          </w14:textFill>
        </w:rPr>
        <w:t>（投标人名称）</w:t>
      </w:r>
      <w:r>
        <w:rPr>
          <w:rFonts w:hint="eastAsia" w:ascii="仿宋" w:hAnsi="仿宋" w:eastAsia="仿宋"/>
          <w:color w:val="000000" w:themeColor="text1"/>
          <w:sz w:val="30"/>
          <w:szCs w:val="30"/>
          <w14:textFill>
            <w14:solidFill>
              <w14:schemeClr w14:val="tx1"/>
            </w14:solidFill>
          </w14:textFill>
        </w:rPr>
        <w:t>系中华人民共和国合法企业/组织，地址为</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我</w:t>
      </w:r>
      <w:r>
        <w:rPr>
          <w:rFonts w:hint="eastAsia" w:ascii="仿宋" w:hAnsi="仿宋" w:eastAsia="仿宋"/>
          <w:color w:val="000000" w:themeColor="text1"/>
          <w:sz w:val="30"/>
          <w:szCs w:val="30"/>
          <w:u w:val="single"/>
          <w14:textFill>
            <w14:solidFill>
              <w14:schemeClr w14:val="tx1"/>
            </w14:solidFill>
          </w14:textFill>
        </w:rPr>
        <w:t>（姓名）</w:t>
      </w:r>
      <w:r>
        <w:rPr>
          <w:rFonts w:hint="eastAsia" w:ascii="仿宋" w:hAnsi="仿宋" w:eastAsia="仿宋"/>
          <w:color w:val="000000" w:themeColor="text1"/>
          <w:sz w:val="30"/>
          <w:szCs w:val="30"/>
          <w14:textFill>
            <w14:solidFill>
              <w14:schemeClr w14:val="tx1"/>
            </w14:solidFill>
          </w14:textFill>
        </w:rPr>
        <w:t>系</w:t>
      </w:r>
      <w:r>
        <w:rPr>
          <w:rFonts w:hint="eastAsia" w:ascii="仿宋" w:hAnsi="仿宋" w:eastAsia="仿宋"/>
          <w:color w:val="000000" w:themeColor="text1"/>
          <w:sz w:val="30"/>
          <w:szCs w:val="30"/>
          <w:u w:val="single"/>
          <w14:textFill>
            <w14:solidFill>
              <w14:schemeClr w14:val="tx1"/>
            </w14:solidFill>
          </w14:textFill>
        </w:rPr>
        <w:t>（投标人名称）</w:t>
      </w:r>
      <w:r>
        <w:rPr>
          <w:rFonts w:hint="eastAsia" w:ascii="仿宋" w:hAnsi="仿宋" w:eastAsia="仿宋"/>
          <w:color w:val="000000" w:themeColor="text1"/>
          <w:sz w:val="30"/>
          <w:szCs w:val="30"/>
          <w14:textFill>
            <w14:solidFill>
              <w14:schemeClr w14:val="tx1"/>
            </w14:solidFill>
          </w14:textFill>
        </w:rPr>
        <w:t>的法定代表人，我方愿意参加贵方组织的</w:t>
      </w:r>
      <w:r>
        <w:rPr>
          <w:rFonts w:hint="eastAsia" w:ascii="仿宋" w:hAnsi="仿宋" w:eastAsia="仿宋"/>
          <w:color w:val="000000" w:themeColor="text1"/>
          <w:sz w:val="30"/>
          <w:szCs w:val="30"/>
          <w:u w:val="single"/>
          <w14:textFill>
            <w14:solidFill>
              <w14:schemeClr w14:val="tx1"/>
            </w14:solidFill>
          </w14:textFill>
        </w:rPr>
        <w:t>（招标项目名称）（编号为）</w:t>
      </w:r>
      <w:r>
        <w:rPr>
          <w:rFonts w:hint="eastAsia" w:ascii="仿宋" w:hAnsi="仿宋" w:eastAsia="仿宋"/>
          <w:color w:val="000000" w:themeColor="text1"/>
          <w:sz w:val="30"/>
          <w:szCs w:val="30"/>
          <w14:textFill>
            <w14:solidFill>
              <w14:schemeClr w14:val="tx1"/>
            </w14:solidFill>
          </w14:textFill>
        </w:rPr>
        <w:t>的投标，为此，我方就本次投标有关事项郑重声明如下：</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1、我方已详细审查全部招标文件，同意招标文件的各项要求。</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2、我方向贵方提交的所有投标文件、资料都是准确的和真实的。</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3、若中标，我方将按招标文件规定履行合同责任和义务。</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4</w:t>
      </w:r>
      <w:r>
        <w:rPr>
          <w:rFonts w:hint="eastAsia" w:ascii="仿宋" w:hAnsi="仿宋" w:eastAsia="仿宋"/>
          <w:color w:val="000000" w:themeColor="text1"/>
          <w:sz w:val="30"/>
          <w:szCs w:val="30"/>
          <w14:textFill>
            <w14:solidFill>
              <w14:schemeClr w14:val="tx1"/>
            </w14:solidFill>
          </w14:textFill>
        </w:rPr>
        <w:t>、投标文件自开标日起有效期为90天。</w:t>
      </w:r>
    </w:p>
    <w:p>
      <w:pPr>
        <w:snapToGrid w:val="0"/>
        <w:spacing w:line="460" w:lineRule="exact"/>
        <w:ind w:firstLine="590" w:firstLineChars="196"/>
        <w:jc w:val="left"/>
        <w:rPr>
          <w:rFonts w:ascii="仿宋" w:hAnsi="仿宋" w:eastAsia="仿宋"/>
          <w:b/>
          <w:color w:val="000000" w:themeColor="text1"/>
          <w:sz w:val="30"/>
          <w:szCs w:val="30"/>
          <w14:textFill>
            <w14:solidFill>
              <w14:schemeClr w14:val="tx1"/>
            </w14:solidFill>
          </w14:textFill>
        </w:rPr>
      </w:pPr>
      <w:r>
        <w:rPr>
          <w:rFonts w:ascii="仿宋" w:hAnsi="仿宋" w:eastAsia="仿宋"/>
          <w:b/>
          <w:color w:val="000000" w:themeColor="text1"/>
          <w:sz w:val="30"/>
          <w:szCs w:val="30"/>
          <w14:textFill>
            <w14:solidFill>
              <w14:schemeClr w14:val="tx1"/>
            </w14:solidFill>
          </w14:textFill>
        </w:rPr>
        <w:t>5</w:t>
      </w:r>
      <w:r>
        <w:rPr>
          <w:rFonts w:hint="eastAsia" w:ascii="仿宋" w:hAnsi="仿宋" w:eastAsia="仿宋"/>
          <w:b/>
          <w:color w:val="000000" w:themeColor="text1"/>
          <w:sz w:val="30"/>
          <w:szCs w:val="30"/>
          <w14:textFill>
            <w14:solidFill>
              <w14:schemeClr w14:val="tx1"/>
            </w14:solidFill>
          </w14:textFill>
        </w:rPr>
        <w:t>、我方参与本项目前3年内的经营活动中没有重大违法记录；</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6</w:t>
      </w:r>
      <w:r>
        <w:rPr>
          <w:rFonts w:hint="eastAsia" w:ascii="仿宋" w:hAnsi="仿宋" w:eastAsia="仿宋"/>
          <w:color w:val="000000" w:themeColor="text1"/>
          <w:sz w:val="30"/>
          <w:szCs w:val="30"/>
          <w14:textFill>
            <w14:solidFill>
              <w14:schemeClr w14:val="tx1"/>
            </w14:solidFill>
          </w14:textFill>
        </w:rPr>
        <w:t>、我方通过“信用中国”网站（www.creditchina.gov.cn）、中国政府采购网（www.ccgp.gov.cn）查询，未被列入失信被执行人、重大税收违法案件当事人名单、政府采购严重违法失信行为记录名单。</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7</w:t>
      </w:r>
      <w:r>
        <w:rPr>
          <w:rFonts w:hint="eastAsia" w:ascii="仿宋" w:hAnsi="仿宋" w:eastAsia="仿宋"/>
          <w:color w:val="000000" w:themeColor="text1"/>
          <w:sz w:val="30"/>
          <w:szCs w:val="30"/>
          <w14:textFill>
            <w14:solidFill>
              <w14:schemeClr w14:val="tx1"/>
            </w14:solidFill>
          </w14:textFill>
        </w:rPr>
        <w:t>、以上事项如有虚假或隐瞒，我方愿意承担一切后果，并不再寻求任何旨在减轻或免除法律责任的辩解。</w:t>
      </w:r>
    </w:p>
    <w:p>
      <w:pPr>
        <w:snapToGrid w:val="0"/>
        <w:spacing w:before="120" w:beforeLines="50" w:after="50" w:line="460" w:lineRule="exact"/>
        <w:ind w:right="600" w:firstLine="150" w:firstLineChars="50"/>
        <w:rPr>
          <w:rFonts w:ascii="仿宋" w:hAnsi="仿宋" w:eastAsia="仿宋"/>
          <w:color w:val="000000" w:themeColor="text1"/>
          <w:sz w:val="30"/>
          <w:szCs w:val="30"/>
          <w14:textFill>
            <w14:solidFill>
              <w14:schemeClr w14:val="tx1"/>
            </w14:solidFill>
          </w14:textFill>
        </w:rPr>
      </w:pPr>
    </w:p>
    <w:p>
      <w:pPr>
        <w:snapToGrid w:val="0"/>
        <w:spacing w:before="120" w:beforeLines="50" w:after="50" w:line="460" w:lineRule="exact"/>
        <w:ind w:right="600" w:firstLine="150" w:firstLineChar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法定代表人签名</w:t>
      </w:r>
      <w:bookmarkStart w:id="43" w:name="_Hlk121479133"/>
      <w:r>
        <w:rPr>
          <w:rFonts w:hint="eastAsia" w:ascii="仿宋" w:hAnsi="仿宋" w:eastAsia="仿宋"/>
          <w:color w:val="000000" w:themeColor="text1"/>
          <w:sz w:val="30"/>
          <w:szCs w:val="30"/>
          <w14:textFill>
            <w14:solidFill>
              <w14:schemeClr w14:val="tx1"/>
            </w14:solidFill>
          </w14:textFill>
        </w:rPr>
        <w:t>（或签名章）</w:t>
      </w:r>
      <w:bookmarkEnd w:id="43"/>
      <w:r>
        <w:rPr>
          <w:rFonts w:hint="eastAsia" w:ascii="仿宋" w:hAnsi="仿宋" w:eastAsia="仿宋"/>
          <w:color w:val="000000" w:themeColor="text1"/>
          <w:sz w:val="30"/>
          <w:szCs w:val="30"/>
          <w14:textFill>
            <w14:solidFill>
              <w14:schemeClr w14:val="tx1"/>
            </w14:solidFill>
          </w14:textFill>
        </w:rPr>
        <w:t xml:space="preserve">：         </w:t>
      </w:r>
    </w:p>
    <w:p>
      <w:pPr>
        <w:snapToGrid w:val="0"/>
        <w:spacing w:before="120" w:beforeLines="50" w:after="50" w:line="460" w:lineRule="exact"/>
        <w:ind w:right="600" w:firstLine="150" w:firstLineChar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 期：</w:t>
      </w:r>
    </w:p>
    <w:p>
      <w:pPr>
        <w:snapToGrid w:val="0"/>
        <w:spacing w:before="120" w:beforeLines="50" w:after="50" w:line="460" w:lineRule="exact"/>
        <w:ind w:firstLine="150" w:firstLineChar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p>
      <w:pPr>
        <w:snapToGrid w:val="0"/>
        <w:spacing w:before="120" w:beforeLines="50" w:after="50" w:line="460" w:lineRule="exact"/>
        <w:ind w:right="600" w:firstLine="2700" w:firstLineChars="900"/>
        <w:rPr>
          <w:rFonts w:ascii="仿宋" w:hAnsi="仿宋" w:eastAsia="仿宋"/>
          <w:color w:val="000000" w:themeColor="text1"/>
          <w:sz w:val="30"/>
          <w:szCs w:val="30"/>
          <w14:textFill>
            <w14:solidFill>
              <w14:schemeClr w14:val="tx1"/>
            </w14:solidFill>
          </w14:textFill>
        </w:rPr>
      </w:pPr>
    </w:p>
    <w:p>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附件4：</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法定代表人证明书</w:t>
      </w:r>
    </w:p>
    <w:p>
      <w:pPr>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国家体育总局体育器材装备中心：</w:t>
      </w:r>
    </w:p>
    <w:p>
      <w:pPr>
        <w:spacing w:line="500" w:lineRule="exact"/>
        <w:ind w:firstLine="3315" w:firstLineChars="1105"/>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236220</wp:posOffset>
                </wp:positionV>
                <wp:extent cx="1028700" cy="0"/>
                <wp:effectExtent l="0" t="4445" r="0" b="5080"/>
                <wp:wrapNone/>
                <wp:docPr id="13" name="直线 3"/>
                <wp:cNvGraphicFramePr/>
                <a:graphic xmlns:a="http://schemas.openxmlformats.org/drawingml/2006/main">
                  <a:graphicData uri="http://schemas.microsoft.com/office/word/2010/wordprocessingShape">
                    <wps:wsp>
                      <wps:cNvCnPr>
                        <a:cxnSpLocks noChangeShapeType="true"/>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7pt;margin-top:18.6pt;height:0pt;width:81pt;z-index:251661312;mso-width-relative:page;mso-height-relative:page;" filled="f" stroked="t" coordsize="21600,21600" o:gfxdata="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ZbPGM1QAAAAgBAAAPAAAAAAAAAAEA&#10;IAAAADgAAABkcnMvZG93bnJldi54bWxQSwECFAAUAAAACACHTuJAA2SqZ8MBAABlAwAADgAAAAAA&#10;AAABACAAAAA6AQAAZHJzL2Uyb0RvYy54bWxQSwUGAAAAAAYABgBZAQAAbwUAAAAA&#10;">
                <v:fill on="f" focussize="0,0"/>
                <v:stroke color="#000000" joinstyle="round"/>
                <v:imagedata o:title=""/>
                <o:lock v:ext="edit" aspectratio="f"/>
              </v:line>
            </w:pict>
          </mc:Fallback>
        </mc:AlternateContent>
      </w:r>
      <w:r>
        <w:rPr>
          <w:rFonts w:ascii="仿宋" w:hAnsi="仿宋" w:eastAsia="仿宋"/>
          <w:color w:val="000000" w:themeColor="text1"/>
          <w:sz w:val="30"/>
          <w:szCs w:val="30"/>
          <w14:textFill>
            <w14:solidFill>
              <w14:schemeClr w14:val="tx1"/>
            </w14:solidFill>
          </w14:textFill>
        </w:rPr>
        <w:t>（姓名、性别、年龄）在我</w:t>
      </w:r>
      <w:r>
        <w:rPr>
          <w:rFonts w:hint="eastAsia" w:ascii="仿宋" w:hAnsi="仿宋" w:eastAsia="仿宋"/>
          <w:color w:val="000000" w:themeColor="text1"/>
          <w:sz w:val="30"/>
          <w:szCs w:val="30"/>
          <w14:textFill>
            <w14:solidFill>
              <w14:schemeClr w14:val="tx1"/>
            </w14:solidFill>
          </w14:textFill>
        </w:rPr>
        <w:t>单位</w:t>
      </w:r>
      <w:r>
        <w:rPr>
          <w:rFonts w:ascii="仿宋" w:hAnsi="仿宋" w:eastAsia="仿宋"/>
          <w:color w:val="000000" w:themeColor="text1"/>
          <w:sz w:val="30"/>
          <w:szCs w:val="30"/>
          <w14:textFill>
            <w14:solidFill>
              <w14:schemeClr w14:val="tx1"/>
            </w14:solidFill>
          </w14:textFill>
        </w:rPr>
        <w:t>任（职务</w:t>
      </w:r>
      <w:r>
        <w:rPr>
          <w:rFonts w:hint="eastAsia" w:ascii="仿宋" w:hAnsi="仿宋" w:eastAsia="仿宋"/>
          <w:color w:val="000000" w:themeColor="text1"/>
          <w:sz w:val="30"/>
          <w:szCs w:val="30"/>
          <w14:textFill>
            <w14:solidFill>
              <w14:schemeClr w14:val="tx1"/>
            </w14:solidFill>
          </w14:textFill>
        </w:rPr>
        <w:t>名称）职务</w:t>
      </w:r>
      <w:r>
        <w:rPr>
          <w:rFonts w:ascii="仿宋" w:hAnsi="仿宋" w:eastAsia="仿宋"/>
          <w:color w:val="000000" w:themeColor="text1"/>
          <w:sz w:val="30"/>
          <w:szCs w:val="30"/>
          <w14:textFill>
            <w14:solidFill>
              <w14:schemeClr w14:val="tx1"/>
            </w14:solidFill>
          </w14:textFill>
        </w:rPr>
        <w:t>，是我单位的法定代表人。</w:t>
      </w:r>
      <w:r>
        <w:rPr>
          <w:rFonts w:ascii="仿宋" w:hAnsi="仿宋" w:eastAsia="仿宋"/>
          <w:color w:val="000000" w:themeColor="text1"/>
          <w:sz w:val="30"/>
          <w:szCs w:val="30"/>
          <w14:textFill>
            <w14:solidFill>
              <w14:schemeClr w14:val="tx1"/>
            </w14:solidFill>
          </w14:textFill>
        </w:rPr>
        <w:br w:type="textWrapping"/>
      </w:r>
      <w:r>
        <w:rPr>
          <w:rFonts w:ascii="仿宋" w:hAnsi="仿宋" w:eastAsia="仿宋"/>
          <w:color w:val="000000" w:themeColor="text1"/>
          <w:sz w:val="30"/>
          <w:szCs w:val="30"/>
          <w14:textFill>
            <w14:solidFill>
              <w14:schemeClr w14:val="tx1"/>
            </w14:solidFill>
          </w14:textFill>
        </w:rPr>
        <w:t>　　特此证明。</w:t>
      </w:r>
    </w:p>
    <w:p>
      <w:pPr>
        <w:spacing w:line="500" w:lineRule="exact"/>
        <w:ind w:firstLine="900" w:firstLineChars="300"/>
        <w:rPr>
          <w:rFonts w:ascii="仿宋" w:hAnsi="仿宋" w:eastAsia="仿宋"/>
          <w:color w:val="000000" w:themeColor="text1"/>
          <w:sz w:val="30"/>
          <w:szCs w:val="30"/>
          <w14:textFill>
            <w14:solidFill>
              <w14:schemeClr w14:val="tx1"/>
            </w14:solidFill>
          </w14:textFill>
        </w:rPr>
      </w:pPr>
    </w:p>
    <w:p>
      <w:pPr>
        <w:spacing w:line="5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法定代表人住址：法定代表人身份证号：</w:t>
      </w:r>
      <w:r>
        <w:rPr>
          <w:rFonts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身份证复印件附后）</w:t>
      </w:r>
    </w:p>
    <w:p>
      <w:pPr>
        <w:spacing w:line="500" w:lineRule="exact"/>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法定代表人电话：</w:t>
      </w:r>
      <w:r>
        <w:rPr>
          <w:rFonts w:ascii="仿宋" w:hAnsi="仿宋" w:eastAsia="仿宋"/>
          <w:color w:val="000000" w:themeColor="text1"/>
          <w:sz w:val="30"/>
          <w:szCs w:val="30"/>
          <w14:textFill>
            <w14:solidFill>
              <w14:schemeClr w14:val="tx1"/>
            </w14:solidFill>
          </w14:textFill>
        </w:rPr>
        <w:br w:type="textWrapping"/>
      </w:r>
      <w:r>
        <w:rPr>
          <w:rFonts w:hint="eastAsia" w:ascii="仿宋" w:hAnsi="仿宋" w:eastAsia="仿宋"/>
          <w:color w:val="000000" w:themeColor="text1"/>
          <w:sz w:val="30"/>
          <w:szCs w:val="30"/>
          <w14:textFill>
            <w14:solidFill>
              <w14:schemeClr w14:val="tx1"/>
            </w14:solidFill>
          </w14:textFill>
        </w:rPr>
        <w:t>投标人全称（公章）：</w:t>
      </w:r>
    </w:p>
    <w:p>
      <w:pPr>
        <w:spacing w:line="5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日期：    年  月  日</w:t>
      </w:r>
    </w:p>
    <w:p>
      <w:pPr>
        <w:widowControl/>
        <w:jc w:val="left"/>
        <w:rPr>
          <w:rFonts w:ascii="Arial" w:hAnsi="Arial" w:cs="Arial"/>
          <w:b/>
          <w:bCs/>
          <w:sz w:val="32"/>
          <w:szCs w:val="32"/>
        </w:rPr>
      </w:pPr>
      <w:r>
        <w:br w:type="page"/>
      </w:r>
    </w:p>
    <w:p>
      <w:pPr>
        <w:snapToGrid w:val="0"/>
        <w:spacing w:before="50" w:after="50"/>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法定代表人授权委托书</w:t>
      </w:r>
    </w:p>
    <w:p>
      <w:pPr>
        <w:snapToGrid w:val="0"/>
        <w:spacing w:before="120" w:beforeLines="50" w:after="50" w:line="460" w:lineRule="exact"/>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国家体育总局体育器材装备中心：</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我（姓名）系（投标人名称）的法定代表人，现授权委托本单位在职职工 （姓名）为授权代表，以我方的名义参加项目编号：</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项目名称</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项目的投标活动，并代表我方全权办理针对上述项目的投标、开标、评标、签约等具体事务和签署相关文件。我方对授权代表的签名事项负全部责任。</w:t>
      </w:r>
    </w:p>
    <w:p>
      <w:pPr>
        <w:snapToGrid w:val="0"/>
        <w:spacing w:before="120" w:beforeLines="50" w:after="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在撤销授权的书面通知以前，本授权书一直有效。授权代表在授权书有效期内签署的所有文件不因授权的撤销而失效。</w:t>
      </w:r>
    </w:p>
    <w:p>
      <w:pPr>
        <w:snapToGrid w:val="0"/>
        <w:spacing w:before="120" w:beforeLines="50" w:after="50" w:line="460" w:lineRule="exact"/>
        <w:ind w:firstLine="48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授权代表无转委托权，特此委托。</w:t>
      </w:r>
    </w:p>
    <w:p>
      <w:pPr>
        <w:pStyle w:val="71"/>
        <w:snapToGrid w:val="0"/>
        <w:spacing w:before="120" w:beforeLines="50" w:after="50"/>
        <w:ind w:firstLine="420"/>
        <w:rPr>
          <w:rFonts w:ascii="方正仿宋_GBK" w:hAnsi="方正仿宋_GBK" w:eastAsia="方正仿宋_GBK" w:cs="方正仿宋_GBK"/>
          <w:color w:val="000000" w:themeColor="text1"/>
          <w:sz w:val="28"/>
          <w:szCs w:val="28"/>
          <w14:textFill>
            <w14:solidFill>
              <w14:schemeClr w14:val="tx1"/>
            </w14:solidFill>
          </w14:textFill>
        </w:rPr>
      </w:pPr>
    </w:p>
    <w:p>
      <w:pPr>
        <w:spacing w:line="500" w:lineRule="exact"/>
        <w:rPr>
          <w:rFonts w:ascii="仿宋" w:hAnsi="仿宋" w:eastAsia="仿宋" w:cs="方正仿宋_GBK"/>
          <w:color w:val="000000" w:themeColor="text1"/>
          <w:sz w:val="28"/>
          <w:szCs w:val="28"/>
          <w:u w:val="single"/>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法定代表人印刷体姓名：</w:t>
      </w:r>
      <w:r>
        <w:rPr>
          <w:rFonts w:ascii="仿宋" w:hAnsi="仿宋" w:eastAsia="仿宋" w:cs="方正仿宋_GBK"/>
          <w:color w:val="000000" w:themeColor="text1"/>
          <w:sz w:val="28"/>
          <w:szCs w:val="28"/>
          <w14:textFill>
            <w14:solidFill>
              <w14:schemeClr w14:val="tx1"/>
            </w14:solidFill>
          </w14:textFill>
        </w:rPr>
        <w:t xml:space="preserve">  </w:t>
      </w:r>
      <w:r>
        <w:rPr>
          <w:rFonts w:hint="eastAsia" w:ascii="仿宋" w:hAnsi="仿宋" w:eastAsia="仿宋" w:cs="方正仿宋_GBK"/>
          <w:color w:val="000000" w:themeColor="text1"/>
          <w:sz w:val="28"/>
          <w:szCs w:val="28"/>
          <w14:textFill>
            <w14:solidFill>
              <w14:schemeClr w14:val="tx1"/>
            </w14:solidFill>
          </w14:textFill>
        </w:rPr>
        <w:t>签字（或签名章）：</w:t>
      </w:r>
    </w:p>
    <w:p>
      <w:pPr>
        <w:spacing w:line="500" w:lineRule="exact"/>
        <w:rPr>
          <w:rFonts w:ascii="仿宋" w:hAnsi="仿宋" w:eastAsia="仿宋" w:cs="方正仿宋_GBK"/>
          <w:color w:val="000000" w:themeColor="text1"/>
          <w:sz w:val="28"/>
          <w:szCs w:val="28"/>
          <w:u w:val="single"/>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投标人代表印刷体姓名：</w:t>
      </w:r>
      <w:r>
        <w:rPr>
          <w:rFonts w:ascii="仿宋" w:hAnsi="仿宋" w:eastAsia="仿宋" w:cs="方正仿宋_GBK"/>
          <w:color w:val="000000" w:themeColor="text1"/>
          <w:sz w:val="28"/>
          <w:szCs w:val="28"/>
          <w14:textFill>
            <w14:solidFill>
              <w14:schemeClr w14:val="tx1"/>
            </w14:solidFill>
          </w14:textFill>
        </w:rPr>
        <w:t xml:space="preserve">  </w:t>
      </w:r>
      <w:r>
        <w:rPr>
          <w:rFonts w:hint="eastAsia" w:ascii="仿宋" w:hAnsi="仿宋" w:eastAsia="仿宋" w:cs="方正仿宋_GBK"/>
          <w:color w:val="000000" w:themeColor="text1"/>
          <w:sz w:val="28"/>
          <w:szCs w:val="28"/>
          <w14:textFill>
            <w14:solidFill>
              <w14:schemeClr w14:val="tx1"/>
            </w14:solidFill>
          </w14:textFill>
        </w:rPr>
        <w:t>签字：</w:t>
      </w:r>
      <w:r>
        <w:rPr>
          <w:rFonts w:ascii="仿宋" w:hAnsi="仿宋" w:eastAsia="仿宋" w:cs="方正仿宋_GBK"/>
          <w:color w:val="000000" w:themeColor="text1"/>
          <w:sz w:val="28"/>
          <w:szCs w:val="28"/>
          <w14:textFill>
            <w14:solidFill>
              <w14:schemeClr w14:val="tx1"/>
            </w14:solidFill>
          </w14:textFill>
        </w:rPr>
        <w:t xml:space="preserve">   </w:t>
      </w:r>
      <w:r>
        <w:rPr>
          <w:rFonts w:hint="eastAsia" w:ascii="仿宋" w:hAnsi="仿宋" w:eastAsia="仿宋" w:cs="方正仿宋_GBK"/>
          <w:color w:val="000000" w:themeColor="text1"/>
          <w:sz w:val="28"/>
          <w:szCs w:val="28"/>
          <w14:textFill>
            <w14:solidFill>
              <w14:schemeClr w14:val="tx1"/>
            </w14:solidFill>
          </w14:textFill>
        </w:rPr>
        <w:t>职务：</w:t>
      </w:r>
    </w:p>
    <w:p>
      <w:pPr>
        <w:spacing w:line="500" w:lineRule="exact"/>
        <w:rPr>
          <w:rFonts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投标人代表身份证号：（身份证复印件附后）</w:t>
      </w:r>
    </w:p>
    <w:p>
      <w:pPr>
        <w:spacing w:line="500" w:lineRule="exact"/>
        <w:rPr>
          <w:rFonts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投标人全称（公章）：</w:t>
      </w:r>
    </w:p>
    <w:p>
      <w:pPr>
        <w:widowControl/>
        <w:jc w:val="left"/>
        <w:rPr>
          <w:rFonts w:ascii="仿宋" w:hAnsi="仿宋" w:eastAsia="仿宋"/>
          <w:b/>
          <w:color w:val="000000" w:themeColor="text1"/>
          <w:sz w:val="30"/>
          <w:szCs w:val="30"/>
          <w14:textFill>
            <w14:solidFill>
              <w14:schemeClr w14:val="tx1"/>
            </w14:solidFill>
          </w14:textFill>
        </w:rPr>
      </w:pPr>
      <w:r>
        <w:rPr>
          <w:rFonts w:ascii="仿宋" w:hAnsi="仿宋" w:eastAsia="仿宋"/>
          <w:b/>
          <w:color w:val="000000" w:themeColor="text1"/>
          <w:sz w:val="30"/>
          <w:szCs w:val="30"/>
          <w14:textFill>
            <w14:solidFill>
              <w14:schemeClr w14:val="tx1"/>
            </w14:solidFill>
          </w14:textFill>
        </w:rPr>
        <w:br w:type="page"/>
      </w:r>
    </w:p>
    <w:p>
      <w:pPr>
        <w:pStyle w:val="9"/>
        <w:overflowPunct w:val="0"/>
        <w:spacing w:line="46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联合投标授权委托书</w:t>
      </w:r>
    </w:p>
    <w:p>
      <w:pPr>
        <w:pStyle w:val="9"/>
        <w:overflowPunct w:val="0"/>
        <w:spacing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本授权委托书声明：根据 </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与</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签订的《联合投标协议书》的内容，主办人</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的法定代表人</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现授权 </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为联合投标代理人，代理人在投标、开标、评标、合同谈判过程中所签署的一切文件和处理与这有关的一切事务， 联合投标各方均予以认可并遵守。</w:t>
      </w:r>
    </w:p>
    <w:p>
      <w:pPr>
        <w:pStyle w:val="9"/>
        <w:overflowPunct w:val="0"/>
        <w:spacing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特此委托。</w:t>
      </w:r>
    </w:p>
    <w:p>
      <w:pPr>
        <w:pStyle w:val="9"/>
        <w:overflowPunct w:val="0"/>
        <w:spacing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w:t>
      </w:r>
    </w:p>
    <w:p>
      <w:pPr>
        <w:pStyle w:val="9"/>
        <w:overflowPunct w:val="0"/>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授权人（签名）：</w:t>
      </w:r>
    </w:p>
    <w:p>
      <w:pPr>
        <w:pStyle w:val="9"/>
        <w:overflowPunct w:val="0"/>
        <w:spacing w:line="460" w:lineRule="exact"/>
        <w:ind w:firstLine="600" w:firstLineChars="20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left="420" w:leftChars="200" w:firstLine="150" w:firstLineChar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日期：    年  月  日</w:t>
      </w:r>
    </w:p>
    <w:p>
      <w:pPr>
        <w:pStyle w:val="9"/>
        <w:overflowPunct w:val="0"/>
        <w:spacing w:line="460" w:lineRule="exact"/>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570" w:firstLineChars="19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p>
    <w:p>
      <w:pPr>
        <w:pStyle w:val="9"/>
        <w:overflowPunct w:val="0"/>
        <w:spacing w:line="460" w:lineRule="exact"/>
        <w:ind w:firstLine="570" w:firstLineChars="19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570" w:firstLineChars="19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日期：    年  月  日</w:t>
      </w:r>
    </w:p>
    <w:p>
      <w:pPr>
        <w:tabs>
          <w:tab w:val="left" w:pos="606"/>
        </w:tabs>
        <w:spacing w:line="460" w:lineRule="exact"/>
        <w:rPr>
          <w:rFonts w:ascii="仿宋" w:hAnsi="仿宋" w:eastAsia="仿宋"/>
          <w:color w:val="000000" w:themeColor="text1"/>
          <w:spacing w:val="20"/>
          <w:sz w:val="30"/>
          <w:szCs w:val="30"/>
          <w14:textFill>
            <w14:solidFill>
              <w14:schemeClr w14:val="tx1"/>
            </w14:solidFill>
          </w14:textFill>
        </w:rPr>
      </w:pPr>
    </w:p>
    <w:p>
      <w:pPr>
        <w:tabs>
          <w:tab w:val="left" w:pos="606"/>
        </w:tabs>
        <w:spacing w:line="460" w:lineRule="exact"/>
        <w:rPr>
          <w:rFonts w:ascii="仿宋" w:hAnsi="仿宋" w:eastAsia="仿宋"/>
          <w:color w:val="000000" w:themeColor="text1"/>
          <w:spacing w:val="20"/>
          <w:sz w:val="30"/>
          <w:szCs w:val="30"/>
          <w14:textFill>
            <w14:solidFill>
              <w14:schemeClr w14:val="tx1"/>
            </w14:solidFill>
          </w14:textFill>
        </w:rPr>
      </w:pPr>
    </w:p>
    <w:tbl>
      <w:tblPr>
        <w:tblStyle w:val="28"/>
        <w:tblW w:w="0" w:type="auto"/>
        <w:jc w:val="center"/>
        <w:tblLayout w:type="fixed"/>
        <w:tblCellMar>
          <w:top w:w="0" w:type="dxa"/>
          <w:left w:w="108" w:type="dxa"/>
          <w:bottom w:w="0" w:type="dxa"/>
          <w:right w:w="108" w:type="dxa"/>
        </w:tblCellMar>
      </w:tblPr>
      <w:tblGrid>
        <w:gridCol w:w="4264"/>
        <w:gridCol w:w="4264"/>
      </w:tblGrid>
      <w:tr>
        <w:tblPrEx>
          <w:tblCellMar>
            <w:top w:w="0" w:type="dxa"/>
            <w:left w:w="108" w:type="dxa"/>
            <w:bottom w:w="0" w:type="dxa"/>
            <w:right w:w="108" w:type="dxa"/>
          </w:tblCellMar>
        </w:tblPrEx>
        <w:trPr>
          <w:jc w:val="center"/>
        </w:trPr>
        <w:tc>
          <w:tcPr>
            <w:tcW w:w="4264" w:type="dxa"/>
          </w:tcPr>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联合体甲方单位：   （公章）</w:t>
            </w: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法定代表人：     （签章）</w:t>
            </w: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  期：  年  月   日</w:t>
            </w:r>
          </w:p>
        </w:tc>
        <w:tc>
          <w:tcPr>
            <w:tcW w:w="4264" w:type="dxa"/>
          </w:tcPr>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联合体乙方单位：   （公章）</w:t>
            </w: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法定代表人：     （签章）</w:t>
            </w: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  期：  年  月   日</w:t>
            </w:r>
          </w:p>
        </w:tc>
      </w:tr>
    </w:tbl>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overflowPunct w:val="0"/>
        <w:spacing w:line="460" w:lineRule="exact"/>
        <w:ind w:firstLine="0"/>
        <w:rPr>
          <w:rFonts w:ascii="仿宋" w:hAnsi="仿宋" w:eastAsia="仿宋"/>
          <w:color w:val="000000" w:themeColor="text1"/>
          <w:sz w:val="30"/>
          <w:szCs w:val="30"/>
          <w14:textFill>
            <w14:solidFill>
              <w14:schemeClr w14:val="tx1"/>
            </w14:solidFill>
          </w14:textFill>
        </w:rPr>
      </w:pPr>
    </w:p>
    <w:p>
      <w:pPr>
        <w:pStyle w:val="9"/>
        <w:widowControl/>
        <w:overflowPunct w:val="0"/>
        <w:spacing w:line="460" w:lineRule="exact"/>
        <w:ind w:firstLine="0"/>
        <w:jc w:val="left"/>
        <w:rPr>
          <w:rFonts w:ascii="方正仿宋_GBK" w:hAnsi="方正仿宋_GBK" w:eastAsia="方正仿宋_GBK" w:cs="方正仿宋_GBK"/>
          <w:color w:val="000000" w:themeColor="text1"/>
          <w:sz w:val="30"/>
          <w:szCs w:val="30"/>
          <w:u w:val="single"/>
          <w14:textFill>
            <w14:solidFill>
              <w14:schemeClr w14:val="tx1"/>
            </w14:solidFill>
          </w14:textFill>
        </w:rPr>
        <w:sectPr>
          <w:headerReference r:id="rId5" w:type="default"/>
          <w:footerReference r:id="rId6" w:type="default"/>
          <w:pgSz w:w="11906" w:h="16838"/>
          <w:pgMar w:top="1558" w:right="1531" w:bottom="468" w:left="1531" w:header="851" w:footer="851" w:gutter="0"/>
          <w:pgNumType w:chapSep="colon"/>
          <w:cols w:space="720" w:num="1"/>
          <w:docGrid w:linePitch="286" w:charSpace="0"/>
        </w:sectPr>
      </w:pPr>
      <w:r>
        <w:rPr>
          <w:rFonts w:hint="eastAsia" w:ascii="仿宋" w:hAnsi="仿宋" w:eastAsia="仿宋"/>
          <w:color w:val="000000" w:themeColor="text1"/>
          <w:sz w:val="30"/>
          <w:szCs w:val="30"/>
          <w14:textFill>
            <w14:solidFill>
              <w14:schemeClr w14:val="tx1"/>
            </w14:solidFill>
          </w14:textFill>
        </w:rPr>
        <w:t>备注：如果联合体成员多于2个，可按甲、乙、丙、丁…序列增加</w:t>
      </w:r>
    </w:p>
    <w:p>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附件5</w:t>
      </w:r>
      <w:r>
        <w:rPr>
          <w:rFonts w:hint="eastAsia" w:ascii="仿宋" w:hAnsi="仿宋" w:eastAsia="仿宋"/>
          <w:b/>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正本或副本</w:t>
      </w:r>
    </w:p>
    <w:p>
      <w:pPr>
        <w:ind w:right="-110"/>
        <w:jc w:val="center"/>
        <w:rPr>
          <w:rFonts w:ascii="仿宋" w:hAnsi="仿宋" w:eastAsia="仿宋"/>
          <w:color w:val="000000" w:themeColor="text1"/>
          <w:spacing w:val="40"/>
          <w:sz w:val="52"/>
          <w:szCs w:val="52"/>
          <w14:textFill>
            <w14:solidFill>
              <w14:schemeClr w14:val="tx1"/>
            </w14:solidFill>
          </w14:textFill>
        </w:rPr>
      </w:pPr>
      <w:r>
        <w:rPr>
          <w:rFonts w:hint="eastAsia" w:ascii="仿宋" w:hAnsi="仿宋" w:eastAsia="仿宋"/>
          <w:color w:val="000000" w:themeColor="text1"/>
          <w:spacing w:val="40"/>
          <w:sz w:val="52"/>
          <w:szCs w:val="52"/>
          <w14:textFill>
            <w14:solidFill>
              <w14:schemeClr w14:val="tx1"/>
            </w14:solidFill>
          </w14:textFill>
        </w:rPr>
        <w:t>项目名称</w:t>
      </w:r>
    </w:p>
    <w:p>
      <w:pPr>
        <w:ind w:right="-110"/>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 （标项）</w:t>
      </w:r>
    </w:p>
    <w:p>
      <w:pPr>
        <w:spacing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pPr>
        <w:spacing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pPr>
        <w:spacing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pPr>
        <w:spacing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pPr>
        <w:spacing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pPr>
        <w:spacing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pPr>
        <w:spacing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pPr>
        <w:pStyle w:val="59"/>
        <w:spacing w:line="560" w:lineRule="exact"/>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投标人全称：</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14:textFill>
            <w14:solidFill>
              <w14:schemeClr w14:val="tx1"/>
            </w14:solidFill>
          </w14:textFill>
        </w:rPr>
        <w:t>（加盖单位公章）</w:t>
      </w:r>
    </w:p>
    <w:p>
      <w:pPr>
        <w:pStyle w:val="59"/>
        <w:spacing w:line="560" w:lineRule="exact"/>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法定代表人印刷体姓名：</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14:textFill>
            <w14:solidFill>
              <w14:schemeClr w14:val="tx1"/>
            </w14:solidFill>
          </w14:textFill>
        </w:rPr>
        <w:t xml:space="preserve">  签字（或签名章）：</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560" w:lineRule="exact"/>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授权投标代表印刷体姓名：</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14:textFill>
            <w14:solidFill>
              <w14:schemeClr w14:val="tx1"/>
            </w14:solidFill>
          </w14:textFill>
        </w:rPr>
        <w:t xml:space="preserve">  签字：</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560" w:lineRule="exact"/>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投标人地址：   </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560" w:lineRule="exact"/>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邮编：</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560" w:lineRule="exact"/>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联系电话：  </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560" w:lineRule="exact"/>
        <w:rPr>
          <w:rFonts w:ascii="方正仿宋_GBK" w:hAnsi="方正仿宋_GBK" w:eastAsia="方正仿宋_GBK" w:cs="方正仿宋_GBK"/>
          <w:color w:val="000000" w:themeColor="text1"/>
          <w:sz w:val="28"/>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开标时间：  </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widowControl/>
        <w:jc w:val="left"/>
        <w:rPr>
          <w:rFonts w:ascii="仿宋" w:hAnsi="仿宋" w:eastAsia="仿宋"/>
          <w:color w:val="000000" w:themeColor="text1"/>
          <w:sz w:val="36"/>
          <w:szCs w:val="36"/>
          <w14:textFill>
            <w14:solidFill>
              <w14:schemeClr w14:val="tx1"/>
            </w14:solidFill>
          </w14:textFill>
        </w:rPr>
      </w:pPr>
      <w:r>
        <w:rPr>
          <w:rFonts w:ascii="仿宋" w:hAnsi="仿宋" w:eastAsia="仿宋"/>
          <w:color w:val="000000" w:themeColor="text1"/>
          <w:sz w:val="36"/>
          <w:szCs w:val="36"/>
          <w14:textFill>
            <w14:solidFill>
              <w14:schemeClr w14:val="tx1"/>
            </w14:solidFill>
          </w14:textFill>
        </w:rPr>
        <w:br w:type="page"/>
      </w:r>
    </w:p>
    <w:p>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2、技术及商务文件目录</w:t>
      </w:r>
    </w:p>
    <w:p>
      <w:pPr>
        <w:snapToGrid w:val="0"/>
        <w:spacing w:line="460" w:lineRule="exact"/>
        <w:ind w:firstLine="588" w:firstLineChars="196"/>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pPr>
        <w:snapToGrid w:val="0"/>
        <w:spacing w:line="460" w:lineRule="exact"/>
        <w:ind w:firstLine="588" w:firstLineChars="196"/>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w:t>
      </w:r>
    </w:p>
    <w:p>
      <w:pPr>
        <w:snapToGrid w:val="0"/>
        <w:spacing w:line="460" w:lineRule="exact"/>
        <w:ind w:firstLine="588" w:firstLineChars="196"/>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pPr>
        <w:snapToGrid w:val="0"/>
        <w:spacing w:line="460" w:lineRule="exact"/>
        <w:ind w:firstLine="588" w:firstLineChars="196"/>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（4）商务响应表（格式见附件）；</w:t>
      </w:r>
    </w:p>
    <w:p>
      <w:pPr>
        <w:snapToGrid w:val="0"/>
        <w:spacing w:line="460" w:lineRule="exact"/>
        <w:ind w:firstLine="588" w:firstLineChars="196"/>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（5）投标人同类项目服务的业绩；</w:t>
      </w:r>
    </w:p>
    <w:p>
      <w:pPr>
        <w:snapToGrid w:val="0"/>
        <w:spacing w:line="460" w:lineRule="exact"/>
        <w:ind w:firstLine="588" w:firstLineChars="196"/>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bidi="ar"/>
          <w14:textFill>
            <w14:solidFill>
              <w14:schemeClr w14:val="tx1"/>
            </w14:solidFill>
          </w14:textFill>
        </w:rPr>
        <w:t>（6）项目负责人资质和业绩；</w:t>
      </w:r>
    </w:p>
    <w:p>
      <w:pPr>
        <w:snapToGrid w:val="0"/>
        <w:spacing w:line="460" w:lineRule="exact"/>
        <w:ind w:firstLine="588" w:firstLineChars="196"/>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（7）项目团队成员情况（核心、主要及其他人员）；</w:t>
      </w:r>
    </w:p>
    <w:p>
      <w:pPr>
        <w:snapToGrid w:val="0"/>
        <w:spacing w:line="460" w:lineRule="exact"/>
        <w:ind w:firstLine="588" w:firstLineChars="196"/>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（8）项目服务方案（包括但不限于</w:t>
      </w:r>
      <w:r>
        <w:rPr>
          <w:rFonts w:hint="eastAsia" w:ascii="仿宋" w:hAnsi="仿宋" w:eastAsia="仿宋"/>
          <w:color w:val="000000"/>
          <w:sz w:val="30"/>
          <w:szCs w:val="30"/>
        </w:rPr>
        <w:t>“奔跑吧·少年”赛事活动填报系统服务方案、体育基础数据统计填报系统服务方案、三大球运动会赛事信息系统服务方案、技术运行服务方案、等保测评与第三方测试</w:t>
      </w:r>
      <w:r>
        <w:rPr>
          <w:rFonts w:hint="eastAsia" w:ascii="仿宋" w:hAnsi="仿宋" w:eastAsia="仿宋"/>
          <w:color w:val="000000" w:themeColor="text1"/>
          <w:sz w:val="30"/>
          <w:szCs w:val="30"/>
          <w14:textFill>
            <w14:solidFill>
              <w14:schemeClr w14:val="tx1"/>
            </w14:solidFill>
          </w14:textFill>
        </w:rPr>
        <w:t>服务方案</w:t>
      </w:r>
      <w:r>
        <w:rPr>
          <w:rFonts w:hint="eastAsia" w:ascii="仿宋" w:hAnsi="仿宋" w:eastAsia="仿宋"/>
          <w:color w:val="000000"/>
          <w:sz w:val="30"/>
          <w:szCs w:val="30"/>
        </w:rPr>
        <w:t>、组织实施</w:t>
      </w:r>
      <w:r>
        <w:rPr>
          <w:rFonts w:hint="eastAsia" w:ascii="仿宋" w:hAnsi="仿宋" w:eastAsia="仿宋"/>
          <w:color w:val="000000" w:themeColor="text1"/>
          <w:sz w:val="30"/>
          <w:szCs w:val="30"/>
          <w14:textFill>
            <w14:solidFill>
              <w14:schemeClr w14:val="tx1"/>
            </w14:solidFill>
          </w14:textFill>
        </w:rPr>
        <w:t>方案</w:t>
      </w:r>
      <w:r>
        <w:rPr>
          <w:rFonts w:hint="eastAsia" w:ascii="仿宋" w:hAnsi="仿宋" w:eastAsia="仿宋"/>
          <w:color w:val="000000"/>
          <w:sz w:val="30"/>
          <w:szCs w:val="30"/>
        </w:rPr>
        <w:t>、应急预案、质量保证计划、进度管理计划</w:t>
      </w:r>
      <w:r>
        <w:rPr>
          <w:rFonts w:hint="eastAsia" w:ascii="仿宋" w:hAnsi="仿宋" w:eastAsia="仿宋"/>
          <w:color w:val="000000" w:themeColor="text1"/>
          <w:sz w:val="30"/>
          <w:szCs w:val="30"/>
          <w14:textFill>
            <w14:solidFill>
              <w14:schemeClr w14:val="tx1"/>
            </w14:solidFill>
          </w14:textFill>
        </w:rPr>
        <w:t>）；</w:t>
      </w:r>
    </w:p>
    <w:p>
      <w:pPr>
        <w:snapToGrid w:val="0"/>
        <w:spacing w:line="460" w:lineRule="exact"/>
        <w:ind w:firstLine="588" w:firstLineChars="196"/>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（9）投标人认为需要的其他文件资料。</w:t>
      </w:r>
    </w:p>
    <w:p>
      <w:pPr>
        <w:snapToGrid w:val="0"/>
        <w:jc w:val="left"/>
        <w:rPr>
          <w:rFonts w:ascii="仿宋" w:hAnsi="仿宋" w:eastAsia="仿宋"/>
          <w:color w:val="FF0000"/>
          <w:sz w:val="28"/>
          <w:szCs w:val="28"/>
        </w:rPr>
      </w:pPr>
      <w:r>
        <w:rPr>
          <w:rFonts w:ascii="仿宋" w:hAnsi="仿宋" w:eastAsia="仿宋"/>
          <w:color w:val="FF0000"/>
          <w:sz w:val="28"/>
          <w:szCs w:val="28"/>
        </w:rPr>
        <w:br w:type="page"/>
      </w:r>
    </w:p>
    <w:p>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附件6：</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pPr>
        <w:snapToGrid w:val="0"/>
        <w:spacing w:before="50"/>
        <w:jc w:val="center"/>
        <w:rPr>
          <w:rFonts w:ascii="仿宋" w:hAnsi="仿宋" w:eastAsia="仿宋"/>
          <w:b/>
          <w:color w:val="000000" w:themeColor="text1"/>
          <w:sz w:val="32"/>
          <w:szCs w:val="32"/>
          <w14:textFill>
            <w14:solidFill>
              <w14:schemeClr w14:val="tx1"/>
            </w14:solidFill>
          </w14:textFill>
        </w:rPr>
      </w:pPr>
    </w:p>
    <w:p>
      <w:pPr>
        <w:pStyle w:val="1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w:t>
      </w:r>
      <w:r>
        <w:rPr>
          <w:rFonts w:ascii="仿宋" w:hAnsi="仿宋" w:eastAsia="仿宋"/>
          <w:color w:val="000000" w:themeColor="text1"/>
          <w:sz w:val="30"/>
          <w:szCs w:val="30"/>
          <w:lang w:val="en"/>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标项：</w:t>
      </w:r>
      <w:r>
        <w:rPr>
          <w:rFonts w:hint="eastAsia" w:ascii="仿宋" w:hAnsi="仿宋" w:eastAsia="仿宋"/>
          <w:color w:val="000000" w:themeColor="text1"/>
          <w:sz w:val="30"/>
          <w:szCs w:val="30"/>
          <w:u w:val="single"/>
          <w14:textFill>
            <w14:solidFill>
              <w14:schemeClr w14:val="tx1"/>
            </w14:solidFill>
          </w14:textFill>
        </w:rPr>
        <w:t xml:space="preserve">       </w:t>
      </w:r>
    </w:p>
    <w:tbl>
      <w:tblPr>
        <w:tblStyle w:val="28"/>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0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bl>
    <w:p>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日期：</w:t>
      </w:r>
      <w:r>
        <w:rPr>
          <w:rFonts w:hint="eastAsia" w:ascii="仿宋" w:hAnsi="仿宋" w:eastAsia="仿宋"/>
          <w:color w:val="000000" w:themeColor="text1"/>
          <w:sz w:val="30"/>
          <w:szCs w:val="30"/>
          <w:u w:val="single"/>
          <w14:textFill>
            <w14:solidFill>
              <w14:schemeClr w14:val="tx1"/>
            </w14:solidFill>
          </w14:textFill>
        </w:rPr>
        <w:t xml:space="preserve">         </w:t>
      </w: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附件7：</w:t>
      </w:r>
    </w:p>
    <w:p>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pPr>
        <w:pStyle w:val="10"/>
        <w:snapToGrid w:val="0"/>
        <w:ind w:left="8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w:t>
      </w:r>
    </w:p>
    <w:p>
      <w:pPr>
        <w:pStyle w:val="10"/>
        <w:snapToGrid w:val="0"/>
        <w:ind w:left="84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项目名称：</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标项：</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w:t>
      </w:r>
    </w:p>
    <w:tbl>
      <w:tblPr>
        <w:tblStyle w:val="28"/>
        <w:tblW w:w="83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702"/>
        <w:gridCol w:w="2829"/>
        <w:gridCol w:w="115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270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服务项目</w:t>
            </w: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服务内容</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pPr>
        <w:snapToGrid w:val="0"/>
        <w:spacing w:before="120" w:beforeLines="50"/>
        <w:rPr>
          <w:rFonts w:ascii="仿宋" w:hAnsi="仿宋" w:eastAsia="仿宋"/>
          <w:color w:val="000000" w:themeColor="text1"/>
          <w:sz w:val="30"/>
          <w:szCs w:val="30"/>
          <w14:textFill>
            <w14:solidFill>
              <w14:schemeClr w14:val="tx1"/>
            </w14:solidFill>
          </w14:textFill>
        </w:rPr>
      </w:pPr>
    </w:p>
    <w:p>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日期：</w:t>
      </w:r>
      <w:r>
        <w:rPr>
          <w:rFonts w:hint="eastAsia" w:ascii="仿宋" w:hAnsi="仿宋" w:eastAsia="仿宋"/>
          <w:color w:val="000000" w:themeColor="text1"/>
          <w:sz w:val="30"/>
          <w:szCs w:val="30"/>
          <w:u w:val="single"/>
          <w14:textFill>
            <w14:solidFill>
              <w14:schemeClr w14:val="tx1"/>
            </w14:solidFill>
          </w14:textFill>
        </w:rPr>
        <w:t xml:space="preserve">         </w:t>
      </w:r>
    </w:p>
    <w:p>
      <w:pPr>
        <w:snapToGrid w:val="0"/>
        <w:spacing w:before="50" w:after="50"/>
        <w:rPr>
          <w:rFonts w:ascii="仿宋" w:hAnsi="仿宋" w:eastAsia="仿宋"/>
          <w:color w:val="000000" w:themeColor="text1"/>
          <w:spacing w:val="20"/>
          <w:sz w:val="30"/>
          <w:szCs w:val="30"/>
          <w14:textFill>
            <w14:solidFill>
              <w14:schemeClr w14:val="tx1"/>
            </w14:solidFill>
          </w14:textFill>
        </w:rPr>
      </w:pPr>
    </w:p>
    <w:p>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附件8：</w:t>
      </w:r>
    </w:p>
    <w:p>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pPr>
        <w:snapToGrid w:val="0"/>
        <w:spacing w:before="50" w:after="120" w:afterLines="50"/>
        <w:jc w:val="center"/>
        <w:rPr>
          <w:rFonts w:ascii="仿宋" w:hAnsi="仿宋" w:eastAsia="仿宋"/>
          <w:b/>
          <w:color w:val="000000" w:themeColor="text1"/>
          <w:sz w:val="32"/>
          <w:szCs w:val="32"/>
          <w14:textFill>
            <w14:solidFill>
              <w14:schemeClr w14:val="tx1"/>
            </w14:solidFill>
          </w14:textFill>
        </w:rPr>
      </w:pPr>
    </w:p>
    <w:p>
      <w:pPr>
        <w:pStyle w:val="1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标项：</w:t>
      </w:r>
      <w:r>
        <w:rPr>
          <w:rFonts w:hint="eastAsia" w:ascii="仿宋" w:hAnsi="仿宋" w:eastAsia="仿宋"/>
          <w:color w:val="000000" w:themeColor="text1"/>
          <w:sz w:val="30"/>
          <w:szCs w:val="30"/>
          <w:u w:val="single"/>
          <w14:textFill>
            <w14:solidFill>
              <w14:schemeClr w14:val="tx1"/>
            </w14:solidFill>
          </w14:textFill>
        </w:rPr>
        <w:t xml:space="preserve">       </w:t>
      </w:r>
    </w:p>
    <w:tbl>
      <w:tblPr>
        <w:tblStyle w:val="28"/>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7"/>
        <w:gridCol w:w="2878"/>
        <w:gridCol w:w="24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3227" w:type="dxa"/>
            <w:tcBorders>
              <w:top w:val="single" w:color="auto" w:sz="4" w:space="0"/>
              <w:left w:val="single" w:color="auto" w:sz="4" w:space="0"/>
              <w:bottom w:val="single" w:color="auto" w:sz="4" w:space="0"/>
              <w:right w:val="single" w:color="auto" w:sz="4" w:space="0"/>
            </w:tcBorders>
          </w:tcPr>
          <w:p>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878" w:type="dxa"/>
            <w:tcBorders>
              <w:top w:val="single" w:color="auto" w:sz="4" w:space="0"/>
              <w:left w:val="single" w:color="auto" w:sz="4" w:space="0"/>
              <w:bottom w:val="single" w:color="auto" w:sz="4" w:space="0"/>
              <w:right w:val="single" w:color="auto" w:sz="4" w:space="0"/>
            </w:tcBorders>
          </w:tcPr>
          <w:p>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227" w:type="dxa"/>
            <w:tcBorders>
              <w:top w:val="single" w:color="auto" w:sz="4" w:space="0"/>
              <w:left w:val="single" w:color="auto" w:sz="4" w:space="0"/>
              <w:bottom w:val="single" w:color="auto" w:sz="4" w:space="0"/>
              <w:right w:val="single" w:color="auto" w:sz="4" w:space="0"/>
            </w:tcBorders>
            <w:vAlign w:val="center"/>
          </w:tcPr>
          <w:p>
            <w:pPr>
              <w:pStyle w:val="16"/>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878"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227" w:type="dxa"/>
            <w:tcBorders>
              <w:top w:val="single" w:color="auto" w:sz="4" w:space="0"/>
              <w:left w:val="single" w:color="auto" w:sz="4" w:space="0"/>
              <w:bottom w:val="single" w:color="auto" w:sz="4" w:space="0"/>
              <w:right w:val="single" w:color="auto" w:sz="4" w:space="0"/>
            </w:tcBorders>
            <w:vAlign w:val="center"/>
          </w:tcPr>
          <w:p>
            <w:pPr>
              <w:pStyle w:val="16"/>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878"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227" w:type="dxa"/>
            <w:tcBorders>
              <w:top w:val="single" w:color="auto" w:sz="4" w:space="0"/>
              <w:left w:val="single" w:color="auto" w:sz="4" w:space="0"/>
              <w:bottom w:val="single" w:color="auto" w:sz="4" w:space="0"/>
              <w:right w:val="single" w:color="auto" w:sz="4" w:space="0"/>
            </w:tcBorders>
            <w:vAlign w:val="center"/>
          </w:tcPr>
          <w:p>
            <w:pPr>
              <w:pStyle w:val="16"/>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878"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227" w:type="dxa"/>
            <w:tcBorders>
              <w:top w:val="single" w:color="auto" w:sz="4" w:space="0"/>
              <w:left w:val="single" w:color="auto" w:sz="4" w:space="0"/>
              <w:bottom w:val="single" w:color="auto" w:sz="4" w:space="0"/>
              <w:right w:val="single" w:color="auto" w:sz="4" w:space="0"/>
            </w:tcBorders>
            <w:vAlign w:val="center"/>
          </w:tcPr>
          <w:p>
            <w:pPr>
              <w:pStyle w:val="16"/>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878"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227" w:type="dxa"/>
            <w:tcBorders>
              <w:top w:val="single" w:color="auto" w:sz="4" w:space="0"/>
              <w:left w:val="single" w:color="auto" w:sz="4" w:space="0"/>
              <w:bottom w:val="single" w:color="auto" w:sz="4" w:space="0"/>
              <w:right w:val="single" w:color="auto" w:sz="4" w:space="0"/>
            </w:tcBorders>
            <w:vAlign w:val="center"/>
          </w:tcPr>
          <w:p>
            <w:pPr>
              <w:pStyle w:val="16"/>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878"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227" w:type="dxa"/>
            <w:tcBorders>
              <w:top w:val="single" w:color="auto" w:sz="4" w:space="0"/>
              <w:left w:val="single" w:color="auto" w:sz="4" w:space="0"/>
              <w:bottom w:val="single" w:color="auto" w:sz="4" w:space="0"/>
              <w:right w:val="single" w:color="auto" w:sz="4" w:space="0"/>
            </w:tcBorders>
            <w:vAlign w:val="center"/>
          </w:tcPr>
          <w:p>
            <w:pPr>
              <w:pStyle w:val="16"/>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878"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227" w:type="dxa"/>
            <w:tcBorders>
              <w:top w:val="single" w:color="auto" w:sz="4" w:space="0"/>
              <w:left w:val="single" w:color="auto" w:sz="4" w:space="0"/>
              <w:bottom w:val="single" w:color="auto" w:sz="4" w:space="0"/>
              <w:right w:val="single" w:color="auto" w:sz="4" w:space="0"/>
            </w:tcBorders>
            <w:vAlign w:val="center"/>
          </w:tcPr>
          <w:p>
            <w:pPr>
              <w:pStyle w:val="16"/>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878"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pPr>
              <w:pStyle w:val="16"/>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pPr>
        <w:snapToGrid w:val="0"/>
        <w:spacing w:line="460" w:lineRule="exact"/>
        <w:jc w:val="left"/>
        <w:rPr>
          <w:rFonts w:ascii="仿宋" w:hAnsi="仿宋" w:eastAsia="仿宋"/>
          <w:color w:val="000000"/>
          <w:spacing w:val="20"/>
          <w:kern w:val="0"/>
          <w:sz w:val="30"/>
          <w:szCs w:val="30"/>
        </w:rPr>
      </w:pPr>
      <w:r>
        <w:rPr>
          <w:rFonts w:hint="eastAsia" w:ascii="仿宋" w:hAnsi="仿宋" w:eastAsia="仿宋"/>
          <w:color w:val="000000" w:themeColor="text1"/>
          <w:sz w:val="30"/>
          <w:szCs w:val="30"/>
          <w14:textFill>
            <w14:solidFill>
              <w14:schemeClr w14:val="tx1"/>
            </w14:solidFill>
          </w14:textFill>
        </w:rPr>
        <w:t>注：</w:t>
      </w:r>
      <w:r>
        <w:rPr>
          <w:rFonts w:hint="eastAsia" w:ascii="仿宋" w:hAnsi="仿宋" w:eastAsia="仿宋"/>
          <w:color w:val="000000"/>
          <w:sz w:val="30"/>
          <w:szCs w:val="30"/>
        </w:rPr>
        <w:t>投标人应根据招标文件要求逐项响应并在“偏离情况”栏注明“正偏离”、“负偏离”或“无偏离”</w:t>
      </w:r>
    </w:p>
    <w:p>
      <w:pPr>
        <w:pStyle w:val="13"/>
        <w:rPr>
          <w:rFonts w:ascii="仿宋" w:hAnsi="仿宋" w:eastAsia="仿宋"/>
          <w:color w:val="000000" w:themeColor="text1"/>
          <w:spacing w:val="20"/>
          <w:kern w:val="0"/>
          <w:sz w:val="30"/>
          <w:szCs w:val="30"/>
          <w14:textFill>
            <w14:solidFill>
              <w14:schemeClr w14:val="tx1"/>
            </w14:solidFill>
          </w14:textFill>
        </w:rPr>
      </w:pPr>
    </w:p>
    <w:p>
      <w:pPr>
        <w:snapToGrid w:val="0"/>
        <w:spacing w:before="50" w:after="50"/>
        <w:rPr>
          <w:rFonts w:ascii="仿宋" w:hAnsi="仿宋" w:eastAsia="仿宋"/>
          <w:color w:val="000000" w:themeColor="text1"/>
          <w:spacing w:val="20"/>
          <w:sz w:val="30"/>
          <w:szCs w:val="30"/>
          <w14:textFill>
            <w14:solidFill>
              <w14:schemeClr w14:val="tx1"/>
            </w14:solidFill>
          </w14:textFill>
        </w:rPr>
      </w:pPr>
    </w:p>
    <w:p>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w:t>
      </w:r>
      <w:r>
        <w:rPr>
          <w:rFonts w:hint="eastAsia" w:ascii="仿宋" w:hAnsi="仿宋" w:eastAsia="仿宋"/>
          <w:color w:val="000000" w:themeColor="text1"/>
          <w:spacing w:val="20"/>
          <w:sz w:val="30"/>
          <w:szCs w:val="30"/>
          <w:u w:val="single"/>
          <w14:textFill>
            <w14:solidFill>
              <w14:schemeClr w14:val="tx1"/>
            </w14:solidFill>
          </w14:textFill>
        </w:rPr>
        <w:t xml:space="preserve">        </w:t>
      </w:r>
      <w:r>
        <w:rPr>
          <w:rFonts w:hint="eastAsia" w:ascii="仿宋" w:hAnsi="仿宋" w:eastAsia="仿宋"/>
          <w:color w:val="000000" w:themeColor="text1"/>
          <w:spacing w:val="20"/>
          <w:sz w:val="30"/>
          <w:szCs w:val="30"/>
          <w14:textFill>
            <w14:solidFill>
              <w14:schemeClr w14:val="tx1"/>
            </w14:solidFill>
          </w14:textFill>
        </w:rPr>
        <w:t xml:space="preserve">          日 期：</w:t>
      </w:r>
      <w:r>
        <w:rPr>
          <w:rFonts w:hint="eastAsia" w:ascii="仿宋" w:hAnsi="仿宋" w:eastAsia="仿宋"/>
          <w:color w:val="000000" w:themeColor="text1"/>
          <w:spacing w:val="20"/>
          <w:sz w:val="30"/>
          <w:szCs w:val="30"/>
          <w:u w:val="single"/>
          <w14:textFill>
            <w14:solidFill>
              <w14:schemeClr w14:val="tx1"/>
            </w14:solidFill>
          </w14:textFill>
        </w:rPr>
        <w:t xml:space="preserve">       </w:t>
      </w: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附件9：</w:t>
      </w:r>
    </w:p>
    <w:p>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pPr>
        <w:snapToGrid w:val="0"/>
        <w:spacing w:before="120" w:beforeLines="50" w:after="50"/>
        <w:jc w:val="center"/>
        <w:rPr>
          <w:rFonts w:ascii="仿宋" w:hAnsi="仿宋" w:eastAsia="仿宋"/>
          <w:b/>
          <w:color w:val="000000" w:themeColor="text1"/>
          <w:sz w:val="30"/>
          <w:szCs w:val="30"/>
          <w14:textFill>
            <w14:solidFill>
              <w14:schemeClr w14:val="tx1"/>
            </w14:solidFill>
          </w14:textFill>
        </w:rPr>
      </w:pPr>
    </w:p>
    <w:p>
      <w:pPr>
        <w:pStyle w:val="10"/>
        <w:snapToGrid w:val="0"/>
        <w:ind w:left="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标项：</w:t>
      </w:r>
      <w:r>
        <w:rPr>
          <w:rFonts w:hint="eastAsia" w:ascii="仿宋" w:hAnsi="仿宋" w:eastAsia="仿宋"/>
          <w:color w:val="000000" w:themeColor="text1"/>
          <w:sz w:val="30"/>
          <w:szCs w:val="30"/>
          <w:u w:val="single"/>
          <w14:textFill>
            <w14:solidFill>
              <w14:schemeClr w14:val="tx1"/>
            </w14:solidFill>
          </w14:textFill>
        </w:rPr>
        <w:t xml:space="preserve">       </w:t>
      </w:r>
    </w:p>
    <w:p>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tbl>
      <w:tblPr>
        <w:tblStyle w:val="28"/>
        <w:tblW w:w="8615"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9"/>
        <w:gridCol w:w="2410"/>
        <w:gridCol w:w="2268"/>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岗位</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参加工作时间</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460" w:lineRule="exact"/>
              <w:jc w:val="center"/>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r>
    </w:tbl>
    <w:p>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注：在填写时，如本表格不适合</w:t>
      </w:r>
      <w:r>
        <w:rPr>
          <w:rFonts w:ascii="仿宋" w:hAnsi="仿宋" w:eastAsia="仿宋"/>
          <w:color w:val="000000" w:themeColor="text1"/>
          <w:sz w:val="30"/>
          <w:szCs w:val="30"/>
          <w:lang w:val="en"/>
          <w14:textFill>
            <w14:solidFill>
              <w14:schemeClr w14:val="tx1"/>
            </w14:solidFill>
          </w14:textFill>
        </w:rPr>
        <w:t>投标人</w:t>
      </w:r>
      <w:r>
        <w:rPr>
          <w:rFonts w:hint="eastAsia" w:ascii="仿宋" w:hAnsi="仿宋" w:eastAsia="仿宋"/>
          <w:color w:val="000000" w:themeColor="text1"/>
          <w:sz w:val="30"/>
          <w:szCs w:val="30"/>
          <w14:textFill>
            <w14:solidFill>
              <w14:schemeClr w14:val="tx1"/>
            </w14:solidFill>
          </w14:textFill>
        </w:rPr>
        <w:t xml:space="preserve">的实际情况，可根据本表格式自行划表填写。 </w:t>
      </w:r>
    </w:p>
    <w:p>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w:t>
      </w:r>
      <w:r>
        <w:rPr>
          <w:rFonts w:hint="eastAsia" w:ascii="仿宋" w:hAnsi="仿宋" w:eastAsia="仿宋"/>
          <w:color w:val="000000" w:themeColor="text1"/>
          <w:spacing w:val="20"/>
          <w:sz w:val="30"/>
          <w:szCs w:val="30"/>
          <w:u w:val="single"/>
          <w14:textFill>
            <w14:solidFill>
              <w14:schemeClr w14:val="tx1"/>
            </w14:solidFill>
          </w14:textFill>
        </w:rPr>
        <w:t xml:space="preserve">              </w:t>
      </w:r>
      <w:r>
        <w:rPr>
          <w:rFonts w:hint="eastAsia" w:ascii="仿宋" w:hAnsi="仿宋" w:eastAsia="仿宋"/>
          <w:color w:val="000000" w:themeColor="text1"/>
          <w:spacing w:val="20"/>
          <w:sz w:val="30"/>
          <w:szCs w:val="30"/>
          <w14:textFill>
            <w14:solidFill>
              <w14:schemeClr w14:val="tx1"/>
            </w14:solidFill>
          </w14:textFill>
        </w:rPr>
        <w:t xml:space="preserve"> 日  期：</w:t>
      </w:r>
      <w:r>
        <w:rPr>
          <w:rFonts w:hint="eastAsia" w:ascii="仿宋" w:hAnsi="仿宋" w:eastAsia="仿宋"/>
          <w:color w:val="000000" w:themeColor="text1"/>
          <w:spacing w:val="20"/>
          <w:sz w:val="30"/>
          <w:szCs w:val="30"/>
          <w:u w:val="single"/>
          <w14:textFill>
            <w14:solidFill>
              <w14:schemeClr w14:val="tx1"/>
            </w14:solidFill>
          </w14:textFill>
        </w:rPr>
        <w:t xml:space="preserve">        </w:t>
      </w:r>
    </w:p>
    <w:p>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pPr>
        <w:pStyle w:val="16"/>
        <w:snapToGrid w:val="0"/>
        <w:spacing w:before="120" w:after="120" w:line="460" w:lineRule="exact"/>
        <w:rPr>
          <w:rFonts w:ascii="仿宋" w:hAnsi="仿宋" w:eastAsia="仿宋"/>
          <w:color w:val="000000" w:themeColor="text1"/>
          <w:sz w:val="30"/>
          <w:szCs w:val="30"/>
          <w14:textFill>
            <w14:solidFill>
              <w14:schemeClr w14:val="tx1"/>
            </w14:solidFill>
          </w14:textFill>
        </w:rPr>
      </w:pPr>
    </w:p>
    <w:p>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pPr>
        <w:snapToGrid w:val="0"/>
        <w:spacing w:before="50"/>
        <w:jc w:val="center"/>
        <w:rPr>
          <w:rFonts w:ascii="仿宋" w:hAnsi="仿宋" w:eastAsia="仿宋"/>
          <w:b/>
          <w:color w:val="000000" w:themeColor="text1"/>
          <w:sz w:val="32"/>
          <w:szCs w:val="32"/>
          <w14:textFill>
            <w14:solidFill>
              <w14:schemeClr w14:val="tx1"/>
            </w14:solidFill>
          </w14:textFill>
        </w:rPr>
      </w:pPr>
    </w:p>
    <w:p>
      <w:pPr>
        <w:pStyle w:val="10"/>
        <w:snapToGrid w:val="0"/>
        <w:rPr>
          <w:rFonts w:ascii="仿宋" w:hAnsi="仿宋" w:eastAsia="仿宋"/>
          <w:color w:val="000000" w:themeColor="text1"/>
          <w:sz w:val="30"/>
          <w:szCs w:val="30"/>
          <w:u w:val="single"/>
          <w:lang w:val="e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标项：</w:t>
      </w:r>
      <w:r>
        <w:rPr>
          <w:rFonts w:hint="eastAsia" w:ascii="仿宋" w:hAnsi="仿宋" w:eastAsia="仿宋"/>
          <w:color w:val="000000" w:themeColor="text1"/>
          <w:sz w:val="30"/>
          <w:szCs w:val="30"/>
          <w:u w:val="single"/>
          <w14:textFill>
            <w14:solidFill>
              <w14:schemeClr w14:val="tx1"/>
            </w14:solidFill>
          </w14:textFill>
        </w:rPr>
        <w:t xml:space="preserve">       </w:t>
      </w:r>
      <w:r>
        <w:rPr>
          <w:rFonts w:ascii="仿宋" w:hAnsi="仿宋" w:eastAsia="仿宋"/>
          <w:color w:val="000000" w:themeColor="text1"/>
          <w:sz w:val="30"/>
          <w:szCs w:val="30"/>
          <w:u w:val="single"/>
          <w:lang w:val="en"/>
          <w14:textFill>
            <w14:solidFill>
              <w14:schemeClr w14:val="tx1"/>
            </w14:solidFill>
          </w14:textFill>
        </w:rPr>
        <w:t xml:space="preserve"> </w:t>
      </w:r>
    </w:p>
    <w:tbl>
      <w:tblPr>
        <w:tblStyle w:val="28"/>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4"/>
        <w:gridCol w:w="2248"/>
        <w:gridCol w:w="1259"/>
        <w:gridCol w:w="30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3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24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sz w:val="28"/>
                <w:szCs w:val="28"/>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sz w:val="28"/>
                <w:szCs w:val="28"/>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sz w:val="28"/>
                <w:szCs w:val="28"/>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olor w:val="000000" w:themeColor="text1"/>
                <w:sz w:val="28"/>
                <w:szCs w:val="28"/>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themeColor="text1"/>
                <w:sz w:val="30"/>
                <w:szCs w:val="30"/>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仿宋" w:hAnsi="仿宋" w:eastAsia="仿宋"/>
                <w:color w:val="000000" w:themeColor="text1"/>
                <w:sz w:val="30"/>
                <w:szCs w:val="30"/>
                <w14:textFill>
                  <w14:solidFill>
                    <w14:schemeClr w14:val="tx1"/>
                  </w14:solidFill>
                </w14:textFill>
              </w:rPr>
            </w:pPr>
          </w:p>
        </w:tc>
      </w:tr>
    </w:tbl>
    <w:p>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日期：</w:t>
      </w:r>
      <w:r>
        <w:rPr>
          <w:rFonts w:hint="eastAsia" w:ascii="仿宋" w:hAnsi="仿宋" w:eastAsia="仿宋"/>
          <w:color w:val="000000" w:themeColor="text1"/>
          <w:sz w:val="30"/>
          <w:szCs w:val="30"/>
          <w:u w:val="single"/>
          <w14:textFill>
            <w14:solidFill>
              <w14:schemeClr w14:val="tx1"/>
            </w14:solidFill>
          </w14:textFill>
        </w:rPr>
        <w:t xml:space="preserve">         </w:t>
      </w: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pPr>
        <w:snapToGrid w:val="0"/>
        <w:spacing w:before="50" w:after="120" w:afterLines="50"/>
        <w:jc w:val="left"/>
        <w:rPr>
          <w:rFonts w:ascii="仿宋" w:hAnsi="仿宋" w:eastAsia="仿宋"/>
          <w:b/>
          <w:color w:val="000000"/>
          <w:sz w:val="30"/>
          <w:szCs w:val="30"/>
        </w:rPr>
      </w:pPr>
      <w:r>
        <w:rPr>
          <w:rFonts w:hint="eastAsia" w:ascii="仿宋" w:hAnsi="仿宋" w:eastAsia="仿宋"/>
          <w:b/>
          <w:color w:val="000000"/>
          <w:sz w:val="30"/>
          <w:szCs w:val="30"/>
        </w:rPr>
        <w:t>注：投标人应对照招标文件要求逐项填写。</w:t>
      </w:r>
    </w:p>
    <w:p>
      <w:pPr>
        <w:snapToGrid w:val="0"/>
        <w:spacing w:before="50" w:after="120" w:afterLines="50"/>
        <w:jc w:val="left"/>
        <w:rPr>
          <w:rFonts w:ascii="仿宋" w:hAnsi="仿宋" w:eastAsia="仿宋"/>
          <w:b/>
          <w:color w:val="000000" w:themeColor="text1"/>
          <w:sz w:val="30"/>
          <w:szCs w:val="30"/>
          <w14:textFill>
            <w14:solidFill>
              <w14:schemeClr w14:val="tx1"/>
            </w14:solidFill>
          </w14:textFill>
        </w:rPr>
      </w:pP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pPr>
        <w:widowControl/>
        <w:jc w:val="left"/>
        <w:rPr>
          <w:rFonts w:ascii="仿宋" w:hAnsi="仿宋" w:eastAsia="仿宋"/>
          <w:color w:val="000000" w:themeColor="text1"/>
          <w:sz w:val="30"/>
          <w:szCs w:val="30"/>
          <w14:textFill>
            <w14:solidFill>
              <w14:schemeClr w14:val="tx1"/>
            </w14:solidFill>
          </w14:textFill>
        </w:rPr>
        <w:sectPr>
          <w:pgSz w:w="11906" w:h="16838"/>
          <w:pgMar w:top="1474" w:right="1797" w:bottom="1247" w:left="1797" w:header="851" w:footer="851" w:gutter="0"/>
          <w:cols w:space="720" w:num="1"/>
        </w:sectPr>
      </w:pPr>
    </w:p>
    <w:p>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附件11：</w:t>
      </w:r>
    </w:p>
    <w:p>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pPr>
        <w:pStyle w:val="10"/>
        <w:snapToGrid w:val="0"/>
        <w:ind w:left="84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r>
        <w:rPr>
          <w:rFonts w:hint="eastAsia" w:ascii="仿宋" w:hAnsi="仿宋" w:eastAsia="仿宋"/>
          <w:color w:val="000000" w:themeColor="text1"/>
          <w:sz w:val="30"/>
          <w:szCs w:val="30"/>
          <w:u w:val="single"/>
          <w14:textFill>
            <w14:solidFill>
              <w14:schemeClr w14:val="tx1"/>
            </w14:solidFill>
          </w14:textFill>
        </w:rPr>
        <w:t xml:space="preserve">          </w:t>
      </w:r>
    </w:p>
    <w:tbl>
      <w:tblPr>
        <w:tblStyle w:val="28"/>
        <w:tblW w:w="13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3587"/>
        <w:gridCol w:w="1132"/>
        <w:gridCol w:w="1132"/>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trPr>
        <w:tc>
          <w:tcPr>
            <w:tcW w:w="27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5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设备或服务项目名称</w:t>
            </w:r>
          </w:p>
        </w:tc>
        <w:tc>
          <w:tcPr>
            <w:tcW w:w="11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1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22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合同附件页码</w:t>
            </w:r>
          </w:p>
        </w:tc>
        <w:tc>
          <w:tcPr>
            <w:tcW w:w="22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5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5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275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5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r>
    </w:tbl>
    <w:p>
      <w:pPr>
        <w:pStyle w:val="10"/>
        <w:snapToGrid w:val="0"/>
        <w:spacing w:before="240"/>
        <w:ind w:left="8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r>
        <w:rPr>
          <w:rFonts w:hint="eastAsia" w:ascii="仿宋" w:hAnsi="仿宋" w:eastAsia="仿宋"/>
          <w:color w:val="000000" w:themeColor="text1"/>
          <w:sz w:val="30"/>
          <w:szCs w:val="30"/>
          <w:u w:val="single"/>
          <w14:textFill>
            <w14:solidFill>
              <w14:schemeClr w14:val="tx1"/>
            </w14:solidFill>
          </w14:textFill>
        </w:rPr>
        <w:t xml:space="preserve">            </w:t>
      </w:r>
    </w:p>
    <w:p>
      <w:pPr>
        <w:widowControl/>
        <w:jc w:val="left"/>
        <w:rPr>
          <w:rFonts w:ascii="仿宋" w:hAnsi="仿宋" w:eastAsia="仿宋"/>
          <w:color w:val="000000" w:themeColor="text1"/>
          <w:sz w:val="30"/>
          <w:szCs w:val="30"/>
          <w14:textFill>
            <w14:solidFill>
              <w14:schemeClr w14:val="tx1"/>
            </w14:solidFill>
          </w14:textFill>
        </w:rPr>
      </w:pPr>
    </w:p>
    <w:p>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pPr>
        <w:pStyle w:val="3"/>
        <w:sectPr>
          <w:pgSz w:w="16838" w:h="11906" w:orient="landscape"/>
          <w:pgMar w:top="1797" w:right="1474" w:bottom="1797" w:left="1247" w:header="851" w:footer="851" w:gutter="0"/>
          <w:cols w:space="720" w:num="1"/>
        </w:sectPr>
      </w:pPr>
    </w:p>
    <w:p>
      <w:pPr>
        <w:snapToGrid w:val="0"/>
        <w:spacing w:before="156"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附件12</w:t>
      </w:r>
      <w:r>
        <w:rPr>
          <w:rFonts w:hint="eastAsia" w:ascii="仿宋" w:hAnsi="仿宋" w:eastAsia="仿宋"/>
          <w:b/>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正本或副本</w:t>
      </w:r>
    </w:p>
    <w:p>
      <w:pPr>
        <w:ind w:right="-110"/>
        <w:jc w:val="center"/>
        <w:rPr>
          <w:rFonts w:ascii="仿宋" w:hAnsi="仿宋" w:eastAsia="仿宋"/>
          <w:color w:val="000000" w:themeColor="text1"/>
          <w:spacing w:val="40"/>
          <w:sz w:val="52"/>
          <w:szCs w:val="52"/>
          <w14:textFill>
            <w14:solidFill>
              <w14:schemeClr w14:val="tx1"/>
            </w14:solidFill>
          </w14:textFill>
        </w:rPr>
      </w:pPr>
      <w:r>
        <w:rPr>
          <w:rFonts w:hint="eastAsia" w:ascii="仿宋" w:hAnsi="仿宋" w:eastAsia="仿宋"/>
          <w:color w:val="000000" w:themeColor="text1"/>
          <w:spacing w:val="40"/>
          <w:sz w:val="52"/>
          <w:szCs w:val="52"/>
          <w14:textFill>
            <w14:solidFill>
              <w14:schemeClr w14:val="tx1"/>
            </w14:solidFill>
          </w14:textFill>
        </w:rPr>
        <w:t>项目名称</w:t>
      </w:r>
    </w:p>
    <w:p>
      <w:pPr>
        <w:spacing w:before="312" w:beforeLines="100" w:line="240" w:lineRule="atLeast"/>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项目编号：（标项  ）</w:t>
      </w:r>
    </w:p>
    <w:p>
      <w:pPr>
        <w:spacing w:after="100" w:afterAutospacing="1"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pPr>
        <w:spacing w:after="100" w:afterAutospacing="1"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pPr>
        <w:spacing w:after="100" w:afterAutospacing="1" w:line="11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pPr>
        <w:numPr>
          <w:ins w:id="8" w:author="sport" w:date="2023-02-06T17:29:00Z"/>
        </w:numPr>
        <w:spacing w:after="100" w:afterAutospacing="1" w:line="1100" w:lineRule="exact"/>
        <w:ind w:right="-108"/>
        <w:jc w:val="center"/>
      </w:pPr>
      <w:r>
        <w:rPr>
          <w:rFonts w:hint="eastAsia" w:ascii="仿宋" w:hAnsi="仿宋" w:eastAsia="仿宋"/>
          <w:b/>
          <w:color w:val="000000" w:themeColor="text1"/>
          <w:spacing w:val="40"/>
          <w:sz w:val="84"/>
          <w:szCs w:val="84"/>
          <w14:textFill>
            <w14:solidFill>
              <w14:schemeClr w14:val="tx1"/>
            </w14:solidFill>
          </w14:textFill>
        </w:rPr>
        <w:t>件</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投标人全称：</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360" w:lineRule="auto"/>
        <w:rPr>
          <w:rFonts w:ascii="方正仿宋_GBK" w:hAnsi="方正仿宋_GBK" w:eastAsia="方正仿宋_GBK" w:cs="方正仿宋_GBK"/>
          <w:color w:val="000000" w:themeColor="text1"/>
          <w:sz w:val="28"/>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（加盖单位公章）</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法定代表人印刷体姓名：</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14:textFill>
            <w14:solidFill>
              <w14:schemeClr w14:val="tx1"/>
            </w14:solidFill>
          </w14:textFill>
        </w:rPr>
        <w:t xml:space="preserve">  签字（或签名章）：</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授权投标代表印刷体姓名：</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14:textFill>
            <w14:solidFill>
              <w14:schemeClr w14:val="tx1"/>
            </w14:solidFill>
          </w14:textFill>
        </w:rPr>
        <w:t xml:space="preserve">  签字：</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投标人地址：   </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邮编：</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360" w:lineRule="auto"/>
        <w:rPr>
          <w:rFonts w:ascii="方正仿宋_GBK" w:hAnsi="方正仿宋_GBK" w:eastAsia="方正仿宋_GBK" w:cs="方正仿宋_GBK"/>
          <w:color w:val="000000" w:themeColor="text1"/>
          <w:sz w:val="28"/>
          <w:u w:val="single"/>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联系电话：  </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pStyle w:val="59"/>
        <w:spacing w:line="360" w:lineRule="auto"/>
        <w:rPr>
          <w:rFonts w:ascii="方正仿宋_GBK" w:hAnsi="方正仿宋_GBK" w:eastAsia="方正仿宋_GBK" w:cs="方正仿宋_GBK"/>
          <w:color w:val="000000" w:themeColor="text1"/>
          <w:sz w:val="28"/>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 xml:space="preserve">开标时间：  </w:t>
      </w:r>
      <w:r>
        <w:rPr>
          <w:rFonts w:hint="eastAsia" w:ascii="方正仿宋_GBK" w:hAnsi="方正仿宋_GBK" w:eastAsia="方正仿宋_GBK" w:cs="方正仿宋_GBK"/>
          <w:color w:val="000000" w:themeColor="text1"/>
          <w:sz w:val="28"/>
          <w:u w:val="single"/>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7"/>
        <w:snapToGrid w:val="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b/>
          <w:color w:val="000000" w:themeColor="text1"/>
          <w:sz w:val="36"/>
          <w:szCs w:val="36"/>
          <w14:textFill>
            <w14:solidFill>
              <w14:schemeClr w14:val="tx1"/>
            </w14:solidFill>
          </w14:textFill>
        </w:rPr>
        <w:t>报价文件目录</w:t>
      </w:r>
    </w:p>
    <w:p>
      <w:pPr>
        <w:rPr>
          <w:rFonts w:ascii="仿宋" w:hAnsi="仿宋" w:eastAsia="仿宋"/>
          <w:color w:val="000000" w:themeColor="text1"/>
          <w14:textFill>
            <w14:solidFill>
              <w14:schemeClr w14:val="tx1"/>
            </w14:solidFill>
          </w14:textFill>
        </w:rPr>
      </w:pPr>
    </w:p>
    <w:p>
      <w:pPr>
        <w:pStyle w:val="17"/>
        <w:snapToGrid w:val="0"/>
        <w:spacing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（1）投标报价明细表（见附件13）；</w:t>
      </w:r>
    </w:p>
    <w:p>
      <w:pPr>
        <w:pStyle w:val="17"/>
        <w:snapToGrid w:val="0"/>
        <w:spacing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（2）投标人针对报价需要说明的其他文件和说明（格式自拟）；</w:t>
      </w:r>
    </w:p>
    <w:p>
      <w:pPr>
        <w:pStyle w:val="17"/>
        <w:snapToGrid w:val="0"/>
        <w:spacing w:line="460" w:lineRule="exact"/>
        <w:ind w:left="0" w:left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（3）中小企业声明函（见附件14）；</w:t>
      </w:r>
    </w:p>
    <w:p>
      <w:pPr>
        <w:pStyle w:val="23"/>
        <w:spacing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（4）残疾人福利企业声明函（见附件15）。</w:t>
      </w:r>
    </w:p>
    <w:p>
      <w:pPr>
        <w:pStyle w:val="16"/>
        <w:snapToGrid w:val="0"/>
        <w:spacing w:before="156" w:after="156"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附件13：</w:t>
      </w:r>
    </w:p>
    <w:p>
      <w:pPr>
        <w:pStyle w:val="16"/>
        <w:snapToGrid w:val="0"/>
        <w:spacing w:before="156" w:after="156" w:line="240" w:lineRule="auto"/>
        <w:jc w:val="center"/>
        <w:rPr>
          <w:rFonts w:ascii="仿宋" w:hAnsi="仿宋" w:eastAsia="仿宋"/>
          <w:b/>
          <w:sz w:val="36"/>
          <w:szCs w:val="36"/>
        </w:rPr>
      </w:pPr>
      <w:r>
        <w:rPr>
          <w:rFonts w:hint="eastAsia" w:hAnsi="宋体"/>
          <w:b/>
          <w:sz w:val="36"/>
          <w:szCs w:val="36"/>
        </w:rPr>
        <w:t>投 标 报 价 明 细 表</w:t>
      </w:r>
    </w:p>
    <w:p>
      <w:pPr>
        <w:snapToGrid w:val="0"/>
        <w:rPr>
          <w:rFonts w:ascii="仿宋" w:hAnsi="仿宋" w:eastAsia="仿宋"/>
          <w:sz w:val="28"/>
          <w:szCs w:val="28"/>
        </w:rPr>
      </w:pPr>
      <w:r>
        <w:rPr>
          <w:rFonts w:hint="eastAsia" w:ascii="仿宋" w:hAnsi="仿宋" w:eastAsia="仿宋"/>
          <w:sz w:val="28"/>
          <w:szCs w:val="28"/>
        </w:rPr>
        <w:t>投标人全称（公章）：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napToGrid w:val="0"/>
        <w:rPr>
          <w:rFonts w:ascii="仿宋" w:hAnsi="仿宋" w:eastAsia="仿宋"/>
          <w:sz w:val="28"/>
          <w:szCs w:val="28"/>
        </w:rPr>
      </w:pPr>
    </w:p>
    <w:p>
      <w:pPr>
        <w:snapToGrid w:val="0"/>
        <w:rPr>
          <w:rFonts w:ascii="仿宋" w:hAnsi="仿宋" w:eastAsia="仿宋"/>
          <w:b/>
          <w:sz w:val="28"/>
          <w:szCs w:val="28"/>
          <w:u w:val="single"/>
        </w:rPr>
      </w:pPr>
      <w:r>
        <w:rPr>
          <w:rFonts w:hint="eastAsia" w:ascii="仿宋" w:hAnsi="仿宋" w:eastAsia="仿宋"/>
          <w:sz w:val="28"/>
          <w:szCs w:val="28"/>
        </w:rPr>
        <w:t>招标编号及标项：</w:t>
      </w:r>
      <w:r>
        <w:rPr>
          <w:rFonts w:hint="eastAsia" w:ascii="仿宋" w:hAnsi="仿宋" w:eastAsia="仿宋"/>
          <w:b/>
          <w:sz w:val="28"/>
          <w:szCs w:val="28"/>
          <w:u w:val="single"/>
        </w:rPr>
        <w:t xml:space="preserve">                          </w:t>
      </w:r>
    </w:p>
    <w:p>
      <w:pPr>
        <w:snapToGrid w:val="0"/>
        <w:rPr>
          <w:rFonts w:ascii="仿宋" w:hAnsi="仿宋" w:eastAsia="仿宋"/>
          <w:b/>
          <w:sz w:val="24"/>
          <w:szCs w:val="24"/>
          <w:u w:val="single"/>
        </w:rPr>
      </w:pPr>
    </w:p>
    <w:tbl>
      <w:tblPr>
        <w:tblStyle w:val="28"/>
        <w:tblW w:w="8671" w:type="dxa"/>
        <w:tblInd w:w="118"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858"/>
        <w:gridCol w:w="700"/>
        <w:gridCol w:w="709"/>
        <w:gridCol w:w="8"/>
        <w:gridCol w:w="1741"/>
        <w:gridCol w:w="615"/>
        <w:gridCol w:w="579"/>
        <w:gridCol w:w="579"/>
        <w:gridCol w:w="553"/>
        <w:gridCol w:w="8"/>
        <w:gridCol w:w="450"/>
        <w:gridCol w:w="8"/>
        <w:gridCol w:w="1177"/>
        <w:gridCol w:w="661"/>
        <w:gridCol w:w="2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858" w:type="dxa"/>
            <w:tcBorders>
              <w:top w:val="single" w:color="auto" w:sz="8" w:space="0"/>
              <w:left w:val="single" w:color="auto" w:sz="8" w:space="0"/>
              <w:bottom w:val="nil"/>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700"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类别</w:t>
            </w:r>
          </w:p>
        </w:tc>
        <w:tc>
          <w:tcPr>
            <w:tcW w:w="709" w:type="dxa"/>
            <w:tcBorders>
              <w:top w:val="single" w:color="auto" w:sz="8" w:space="0"/>
              <w:left w:val="nil"/>
              <w:bottom w:val="nil"/>
              <w:right w:val="single" w:color="auto" w:sz="8"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模块类别</w:t>
            </w:r>
          </w:p>
        </w:tc>
        <w:tc>
          <w:tcPr>
            <w:tcW w:w="1749" w:type="dxa"/>
            <w:gridSpan w:val="2"/>
            <w:tcBorders>
              <w:top w:val="single" w:color="auto" w:sz="8" w:space="0"/>
              <w:left w:val="nil"/>
              <w:bottom w:val="nil"/>
              <w:right w:val="single" w:color="auto" w:sz="8"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具体服务</w:t>
            </w:r>
          </w:p>
        </w:tc>
        <w:tc>
          <w:tcPr>
            <w:tcW w:w="615"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数量</w:t>
            </w:r>
          </w:p>
        </w:tc>
        <w:tc>
          <w:tcPr>
            <w:tcW w:w="579"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单价(万元)</w:t>
            </w:r>
          </w:p>
        </w:tc>
        <w:tc>
          <w:tcPr>
            <w:tcW w:w="579" w:type="dxa"/>
            <w:tcBorders>
              <w:top w:val="single" w:color="auto" w:sz="8" w:space="0"/>
              <w:left w:val="nil"/>
              <w:bottom w:val="nil"/>
              <w:right w:val="single" w:color="000000" w:sz="8"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总价(万元)</w:t>
            </w:r>
          </w:p>
        </w:tc>
        <w:tc>
          <w:tcPr>
            <w:tcW w:w="561" w:type="dxa"/>
            <w:gridSpan w:val="2"/>
            <w:tcBorders>
              <w:top w:val="single" w:color="auto" w:sz="8" w:space="0"/>
              <w:left w:val="nil"/>
              <w:bottom w:val="nil"/>
              <w:right w:val="single" w:color="000000" w:sz="8"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458" w:type="dxa"/>
            <w:gridSpan w:val="2"/>
            <w:tcBorders>
              <w:top w:val="single" w:color="auto" w:sz="8" w:space="0"/>
              <w:left w:val="nil"/>
              <w:bottom w:val="nil"/>
              <w:right w:val="nil"/>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服务期</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企业全称</w:t>
            </w:r>
          </w:p>
        </w:tc>
        <w:tc>
          <w:tcPr>
            <w:tcW w:w="68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是否小微企业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trPr>
        <w:tc>
          <w:tcPr>
            <w:tcW w:w="8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6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响应招标文件要求</w:t>
            </w:r>
          </w:p>
        </w:tc>
        <w:tc>
          <w:tcPr>
            <w:tcW w:w="11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c>
          <w:tcPr>
            <w:tcW w:w="686"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trPr>
        <w:tc>
          <w:tcPr>
            <w:tcW w:w="8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24" w:hRule="atLeast"/>
        </w:trPr>
        <w:tc>
          <w:tcPr>
            <w:tcW w:w="8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8" w:hRule="atLeast"/>
        </w:trPr>
        <w:tc>
          <w:tcPr>
            <w:tcW w:w="8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trPr>
        <w:tc>
          <w:tcPr>
            <w:tcW w:w="8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5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7" w:hRule="atLeast"/>
        </w:trPr>
        <w:tc>
          <w:tcPr>
            <w:tcW w:w="85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7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6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579"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5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12" w:hRule="atLeast"/>
        </w:trPr>
        <w:tc>
          <w:tcPr>
            <w:tcW w:w="8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4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1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8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4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1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9" w:hRule="atLeast"/>
        </w:trPr>
        <w:tc>
          <w:tcPr>
            <w:tcW w:w="8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4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1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9" w:hRule="atLeast"/>
        </w:trPr>
        <w:tc>
          <w:tcPr>
            <w:tcW w:w="8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749" w:type="dxa"/>
            <w:gridSpan w:val="2"/>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615"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57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56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12" w:hRule="atLeast"/>
        </w:trPr>
        <w:tc>
          <w:tcPr>
            <w:tcW w:w="85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6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579"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561"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49"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1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49"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1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1" w:hRule="atLeast"/>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49"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1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12" w:hRule="atLeast"/>
        </w:trPr>
        <w:tc>
          <w:tcPr>
            <w:tcW w:w="85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6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579"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561"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4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1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9" w:hRule="atLeast"/>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4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1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57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9" w:hRule="atLeast"/>
        </w:trPr>
        <w:tc>
          <w:tcPr>
            <w:tcW w:w="85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i/>
                <w:iCs/>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7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61"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24" w:hRule="atLeast"/>
        </w:trPr>
        <w:tc>
          <w:tcPr>
            <w:tcW w:w="8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i/>
                <w:iCs/>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7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i/>
                <w:iCs/>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6" w:hRule="atLeast"/>
        </w:trPr>
        <w:tc>
          <w:tcPr>
            <w:tcW w:w="8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i/>
                <w:iCs/>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7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i/>
                <w:iCs/>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0" w:hRule="atLeast"/>
        </w:trPr>
        <w:tc>
          <w:tcPr>
            <w:tcW w:w="8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i/>
                <w:iCs/>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7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i/>
                <w:iCs/>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0" w:hRule="atLeast"/>
        </w:trPr>
        <w:tc>
          <w:tcPr>
            <w:tcW w:w="85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i/>
                <w:iCs/>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7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6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i/>
                <w:iCs/>
                <w:color w:val="000000"/>
                <w:kern w:val="0"/>
                <w:sz w:val="24"/>
                <w:szCs w:val="24"/>
              </w:rPr>
            </w:pP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1248" w:hRule="atLeast"/>
        </w:trPr>
        <w:tc>
          <w:tcPr>
            <w:tcW w:w="8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4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i/>
                <w:iCs/>
                <w:color w:val="000000"/>
                <w:kern w:val="0"/>
                <w:sz w:val="24"/>
                <w:szCs w:val="24"/>
              </w:rPr>
            </w:pP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5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i/>
                <w:iCs/>
                <w:color w:val="000000"/>
                <w:kern w:val="0"/>
                <w:sz w:val="24"/>
                <w:szCs w:val="24"/>
              </w:rPr>
            </w:pPr>
            <w:r>
              <w:rPr>
                <w:rFonts w:hint="eastAsia" w:ascii="仿宋" w:hAnsi="仿宋" w:eastAsia="仿宋" w:cs="宋体"/>
                <w:i/>
                <w:iCs/>
                <w:color w:val="000000"/>
                <w:kern w:val="0"/>
                <w:sz w:val="24"/>
                <w:szCs w:val="24"/>
              </w:rPr>
              <w:t>　</w:t>
            </w: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7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227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0" w:firstLineChars="2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合计金额</w:t>
            </w:r>
          </w:p>
        </w:tc>
        <w:tc>
          <w:tcPr>
            <w:tcW w:w="1741" w:type="dxa"/>
            <w:tcBorders>
              <w:top w:val="nil"/>
              <w:left w:val="nil"/>
              <w:bottom w:val="single" w:color="auto" w:sz="4" w:space="0"/>
              <w:right w:val="single" w:color="auto" w:sz="4" w:space="0"/>
            </w:tcBorders>
            <w:shd w:val="clear" w:color="auto" w:fill="auto"/>
            <w:noWrap/>
            <w:vAlign w:val="center"/>
          </w:tcPr>
          <w:p>
            <w:pPr>
              <w:widowControl/>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小写</w:t>
            </w:r>
          </w:p>
        </w:tc>
        <w:tc>
          <w:tcPr>
            <w:tcW w:w="2326"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ind w:firstLine="480" w:firstLineChars="2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ascii="仿宋" w:hAnsi="仿宋" w:eastAsia="仿宋" w:cs="宋体"/>
                <w:color w:val="000000"/>
                <w:kern w:val="0"/>
                <w:sz w:val="24"/>
                <w:szCs w:val="24"/>
              </w:rPr>
            </w:pPr>
          </w:p>
        </w:tc>
        <w:tc>
          <w:tcPr>
            <w:tcW w:w="1185" w:type="dxa"/>
            <w:gridSpan w:val="2"/>
            <w:vMerge w:val="restart"/>
            <w:tcBorders>
              <w:top w:val="nil"/>
              <w:left w:val="single" w:color="auto" w:sz="4" w:space="0"/>
              <w:bottom w:val="single" w:color="000000" w:sz="4" w:space="0"/>
              <w:right w:val="single" w:color="auto" w:sz="4" w:space="0"/>
            </w:tcBorders>
            <w:vAlign w:val="center"/>
          </w:tcPr>
          <w:p>
            <w:pPr>
              <w:widowControl/>
              <w:ind w:firstLine="440" w:firstLineChars="200"/>
              <w:jc w:val="left"/>
              <w:rPr>
                <w:rFonts w:ascii="等线" w:hAnsi="等线" w:eastAsia="等线" w:cs="宋体"/>
                <w:color w:val="000000"/>
                <w:kern w:val="0"/>
                <w:sz w:val="22"/>
              </w:rPr>
            </w:pPr>
          </w:p>
        </w:tc>
        <w:tc>
          <w:tcPr>
            <w:tcW w:w="686" w:type="dxa"/>
            <w:gridSpan w:val="2"/>
            <w:vMerge w:val="restart"/>
            <w:tcBorders>
              <w:top w:val="nil"/>
              <w:left w:val="single" w:color="auto" w:sz="4" w:space="0"/>
              <w:bottom w:val="single" w:color="000000" w:sz="4" w:space="0"/>
              <w:right w:val="single" w:color="auto" w:sz="4" w:space="0"/>
            </w:tcBorders>
            <w:vAlign w:val="center"/>
          </w:tcPr>
          <w:p>
            <w:pPr>
              <w:widowControl/>
              <w:ind w:firstLine="440" w:firstLineChars="200"/>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227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ascii="仿宋" w:hAnsi="仿宋" w:eastAsia="仿宋" w:cs="宋体"/>
                <w:color w:val="000000"/>
                <w:kern w:val="0"/>
                <w:sz w:val="24"/>
                <w:szCs w:val="24"/>
              </w:rPr>
            </w:pPr>
          </w:p>
        </w:tc>
        <w:tc>
          <w:tcPr>
            <w:tcW w:w="1741" w:type="dxa"/>
            <w:tcBorders>
              <w:top w:val="nil"/>
              <w:left w:val="nil"/>
              <w:bottom w:val="single" w:color="auto" w:sz="4" w:space="0"/>
              <w:right w:val="single" w:color="auto" w:sz="4" w:space="0"/>
            </w:tcBorders>
            <w:shd w:val="clear" w:color="auto" w:fill="auto"/>
            <w:noWrap/>
            <w:vAlign w:val="center"/>
          </w:tcPr>
          <w:p>
            <w:pPr>
              <w:widowControl/>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大写</w:t>
            </w:r>
          </w:p>
        </w:tc>
        <w:tc>
          <w:tcPr>
            <w:tcW w:w="2326"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ind w:firstLine="480" w:firstLineChars="2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ascii="仿宋" w:hAnsi="仿宋" w:eastAsia="仿宋" w:cs="宋体"/>
                <w:color w:val="000000"/>
                <w:kern w:val="0"/>
                <w:sz w:val="24"/>
                <w:szCs w:val="24"/>
              </w:rPr>
            </w:pPr>
          </w:p>
        </w:tc>
        <w:tc>
          <w:tcPr>
            <w:tcW w:w="1185" w:type="dxa"/>
            <w:gridSpan w:val="2"/>
            <w:vMerge w:val="continue"/>
            <w:tcBorders>
              <w:top w:val="nil"/>
              <w:left w:val="single" w:color="auto" w:sz="4" w:space="0"/>
              <w:bottom w:val="single" w:color="000000" w:sz="4" w:space="0"/>
              <w:right w:val="single" w:color="auto" w:sz="4" w:space="0"/>
            </w:tcBorders>
            <w:vAlign w:val="center"/>
          </w:tcPr>
          <w:p>
            <w:pPr>
              <w:widowControl/>
              <w:ind w:firstLine="440" w:firstLineChars="200"/>
              <w:jc w:val="left"/>
              <w:rPr>
                <w:rFonts w:ascii="等线" w:hAnsi="等线" w:eastAsia="等线" w:cs="宋体"/>
                <w:color w:val="000000"/>
                <w:kern w:val="0"/>
                <w:sz w:val="22"/>
              </w:rPr>
            </w:pPr>
          </w:p>
        </w:tc>
        <w:tc>
          <w:tcPr>
            <w:tcW w:w="686" w:type="dxa"/>
            <w:gridSpan w:val="2"/>
            <w:vMerge w:val="continue"/>
            <w:tcBorders>
              <w:top w:val="nil"/>
              <w:left w:val="single" w:color="auto" w:sz="4" w:space="0"/>
              <w:bottom w:val="single" w:color="000000" w:sz="4" w:space="0"/>
              <w:right w:val="single" w:color="auto" w:sz="4" w:space="0"/>
            </w:tcBorders>
            <w:vAlign w:val="center"/>
          </w:tcPr>
          <w:p>
            <w:pPr>
              <w:widowControl/>
              <w:ind w:firstLine="440" w:firstLineChars="200"/>
              <w:jc w:val="left"/>
              <w:rPr>
                <w:rFonts w:ascii="等线" w:hAnsi="等线" w:eastAsia="等线"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5" w:type="dxa"/>
          <w:trHeight w:val="1689" w:hRule="atLeast"/>
        </w:trPr>
        <w:tc>
          <w:tcPr>
            <w:tcW w:w="85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说明：</w:t>
            </w:r>
          </w:p>
        </w:tc>
        <w:tc>
          <w:tcPr>
            <w:tcW w:w="7788" w:type="dxa"/>
            <w:gridSpan w:val="13"/>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rPr>
            </w:pPr>
            <w:r>
              <w:rPr>
                <w:rFonts w:hint="eastAsia" w:ascii="华文仿宋" w:hAnsi="华文仿宋" w:eastAsia="华文仿宋" w:cs="华文仿宋"/>
              </w:rPr>
              <w:t>1、此表应按服务类采购项目报价明细表填写，按明细情况列项填报,在填写时，如上表不适合本项目的实际情况，可在确保投标明细内容完整的情况下，根据上表格式自行划表填写。</w:t>
            </w:r>
            <w:r>
              <w:rPr>
                <w:rFonts w:hint="eastAsia" w:ascii="华文仿宋" w:hAnsi="华文仿宋" w:eastAsia="华文仿宋" w:cs="华文仿宋"/>
              </w:rPr>
              <w:br w:type="textWrapping"/>
            </w:r>
            <w:r>
              <w:rPr>
                <w:rFonts w:hint="eastAsia" w:ascii="华文仿宋" w:hAnsi="华文仿宋" w:eastAsia="华文仿宋" w:cs="华文仿宋"/>
              </w:rPr>
              <w:t>2、报价要求：项目费用包括项目实施所需的工程费、工时费、服务费、运输费、安装调试费、税费及其他一切费用。</w:t>
            </w:r>
            <w:r>
              <w:rPr>
                <w:rFonts w:hint="eastAsia" w:ascii="华文仿宋" w:hAnsi="华文仿宋" w:eastAsia="华文仿宋" w:cs="华文仿宋"/>
              </w:rPr>
              <w:br w:type="textWrapping"/>
            </w:r>
            <w:r>
              <w:rPr>
                <w:rFonts w:hint="eastAsia" w:ascii="华文仿宋" w:hAnsi="华文仿宋" w:eastAsia="华文仿宋" w:cs="华文仿宋"/>
              </w:rPr>
              <w:t>3、报价中不允许出现报价优惠等字样,投标总价合计金额应与明细报价汇总相等。</w:t>
            </w:r>
          </w:p>
        </w:tc>
      </w:tr>
    </w:tbl>
    <w:p>
      <w:pPr>
        <w:snapToGrid w:val="0"/>
        <w:spacing w:line="400" w:lineRule="exact"/>
        <w:jc w:val="left"/>
        <w:rPr>
          <w:rFonts w:ascii="仿宋" w:hAnsi="仿宋" w:eastAsia="仿宋"/>
          <w:sz w:val="24"/>
          <w:szCs w:val="24"/>
        </w:rPr>
      </w:pPr>
    </w:p>
    <w:p>
      <w:pPr>
        <w:snapToGrid w:val="0"/>
        <w:spacing w:line="400" w:lineRule="exact"/>
        <w:jc w:val="left"/>
        <w:rPr>
          <w:rFonts w:ascii="仿宋" w:hAnsi="仿宋" w:eastAsia="仿宋"/>
          <w:sz w:val="28"/>
          <w:szCs w:val="28"/>
        </w:rPr>
      </w:pPr>
      <w:r>
        <w:rPr>
          <w:rFonts w:hint="eastAsia" w:ascii="仿宋" w:hAnsi="仿宋" w:eastAsia="仿宋"/>
          <w:sz w:val="28"/>
          <w:szCs w:val="28"/>
        </w:rPr>
        <w:t xml:space="preserve">授权代表签名：                              日期： </w:t>
      </w:r>
    </w:p>
    <w:p>
      <w:pPr>
        <w:snapToGrid w:val="0"/>
        <w:spacing w:line="400" w:lineRule="exact"/>
        <w:jc w:val="left"/>
        <w:rPr>
          <w:rFonts w:ascii="仿宋" w:hAnsi="仿宋" w:eastAsia="仿宋"/>
          <w:color w:val="000000" w:themeColor="text1"/>
          <w:sz w:val="28"/>
          <w:szCs w:val="28"/>
          <w14:textFill>
            <w14:solidFill>
              <w14:schemeClr w14:val="tx1"/>
            </w14:solidFill>
          </w14:textFill>
        </w:rPr>
      </w:pPr>
    </w:p>
    <w:p/>
    <w:p>
      <w:pPr>
        <w:snapToGrid w:val="0"/>
        <w:spacing w:line="312"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附件14：</w:t>
      </w:r>
    </w:p>
    <w:p>
      <w:pPr>
        <w:snapToGrid w:val="0"/>
        <w:spacing w:line="312" w:lineRule="auto"/>
        <w:ind w:firstLine="903" w:firstLineChars="2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 xml:space="preserve">中小企业声明函（货物） </w:t>
      </w:r>
    </w:p>
    <w:p>
      <w:pPr>
        <w:snapToGrid w:val="0"/>
        <w:spacing w:line="312" w:lineRule="auto"/>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本公司（联合体）郑重声明，根据《政府采购促进中小 企业发展管理办法》（财库﹝2020﹞46 号）的规定，本公司（联合体）参加（单位名称）的  （项目名称）采购活动，提供的货物全部由符合政策要求的中小企业制造。相关企业（含联合体中的中小企业、签订分包意向协议的中小企业） 的具体情况如下： </w:t>
      </w:r>
    </w:p>
    <w:p>
      <w:pPr>
        <w:snapToGrid w:val="0"/>
        <w:spacing w:line="312" w:lineRule="auto"/>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 （标的名称） ，属于（采购文件中明确的所属行业）行业；制造商为（企业名称），从业人员  人，营业收入为 万元，资产总额为 万元</w:t>
      </w:r>
      <w:r>
        <w:rPr>
          <w:rFonts w:hint="eastAsia" w:ascii="仿宋" w:hAnsi="仿宋" w:eastAsia="仿宋"/>
          <w:color w:val="000000" w:themeColor="text1"/>
          <w:sz w:val="30"/>
          <w:szCs w:val="30"/>
          <w:vertAlign w:val="superscript"/>
          <w14:textFill>
            <w14:solidFill>
              <w14:schemeClr w14:val="tx1"/>
            </w14:solidFill>
          </w14:textFill>
        </w:rPr>
        <w:t xml:space="preserve"> 1</w:t>
      </w:r>
      <w:r>
        <w:rPr>
          <w:rFonts w:hint="eastAsia" w:ascii="仿宋" w:hAnsi="仿宋" w:eastAsia="仿宋"/>
          <w:color w:val="000000" w:themeColor="text1"/>
          <w:sz w:val="30"/>
          <w:szCs w:val="30"/>
          <w14:textFill>
            <w14:solidFill>
              <w14:schemeClr w14:val="tx1"/>
            </w14:solidFill>
          </w14:textFill>
        </w:rPr>
        <w:t>，属于（中型企业、小型企业、微型企业）；</w:t>
      </w:r>
    </w:p>
    <w:p>
      <w:pPr>
        <w:snapToGrid w:val="0"/>
        <w:spacing w:line="312" w:lineRule="auto"/>
        <w:ind w:firstLine="750" w:firstLineChars="2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2. （标的名称） ，属于（采购文件前附表中明确的所属行业） 行业；制造商为（企业名称），从业人员  人，营业收入为  万元，资产总额为  万元，属于（中型企业、小型企业、微型企业）； </w:t>
      </w:r>
    </w:p>
    <w:p>
      <w:pPr>
        <w:snapToGrid w:val="0"/>
        <w:spacing w:line="312" w:lineRule="auto"/>
        <w:ind w:firstLine="750" w:firstLineChars="2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w:t>
      </w:r>
    </w:p>
    <w:p>
      <w:pPr>
        <w:snapToGrid w:val="0"/>
        <w:spacing w:line="312"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以上企业，不属于大企业的分支机构，不存在控股股东为大企业的情形，也不存在与大企业的负责人为同一人的情形。 </w:t>
      </w:r>
    </w:p>
    <w:p>
      <w:pPr>
        <w:snapToGrid w:val="0"/>
        <w:spacing w:line="312" w:lineRule="auto"/>
        <w:ind w:firstLine="600" w:firstLineChars="200"/>
      </w:pPr>
      <w:r>
        <w:rPr>
          <w:rFonts w:hint="eastAsia" w:ascii="仿宋" w:hAnsi="仿宋" w:eastAsia="仿宋"/>
          <w:color w:val="000000" w:themeColor="text1"/>
          <w:sz w:val="30"/>
          <w:szCs w:val="30"/>
          <w14:textFill>
            <w14:solidFill>
              <w14:schemeClr w14:val="tx1"/>
            </w14:solidFill>
          </w14:textFill>
        </w:rPr>
        <w:t>本企业对上述声明内容的真实性负责。如有虚假，将依法承担相应责任。</w:t>
      </w:r>
      <w:r>
        <w:t xml:space="preserve"> </w:t>
      </w:r>
    </w:p>
    <w:p>
      <w:pPr>
        <w:snapToGrid w:val="0"/>
        <w:spacing w:line="312" w:lineRule="auto"/>
        <w:ind w:firstLine="750" w:firstLineChars="2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企业名称（盖章）： </w:t>
      </w:r>
    </w:p>
    <w:p>
      <w:pPr>
        <w:snapToGrid w:val="0"/>
        <w:spacing w:line="312" w:lineRule="auto"/>
        <w:ind w:firstLine="750" w:firstLineChars="2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 期：</w:t>
      </w:r>
    </w:p>
    <w:p>
      <w:pPr>
        <w:snapToGrid w:val="0"/>
        <w:spacing w:line="312" w:lineRule="auto"/>
        <w:rPr>
          <w:rFonts w:ascii="仿宋" w:hAnsi="仿宋" w:eastAsia="仿宋"/>
          <w:color w:val="000000" w:themeColor="text1"/>
          <w:sz w:val="30"/>
          <w:szCs w:val="30"/>
          <w14:textFill>
            <w14:solidFill>
              <w14:schemeClr w14:val="tx1"/>
            </w14:solidFill>
          </w14:textFill>
        </w:rPr>
      </w:pPr>
    </w:p>
    <w:p>
      <w:pPr>
        <w:snapToGrid w:val="0"/>
        <w:spacing w:line="312" w:lineRule="auto"/>
        <w:ind w:firstLine="525" w:firstLineChars="250"/>
        <w:jc w:val="left"/>
        <w:rPr>
          <w:rFonts w:ascii="仿宋" w:hAnsi="仿宋" w:eastAsia="仿宋"/>
          <w:color w:val="000000" w:themeColor="text1"/>
          <w:sz w:val="30"/>
          <w:szCs w:val="30"/>
          <w14:textFill>
            <w14:solidFill>
              <w14:schemeClr w14:val="tx1"/>
            </w14:solidFill>
          </w14:textFill>
        </w:rPr>
      </w:pPr>
      <w:r>
        <mc:AlternateContent>
          <mc:Choice Requires="wps">
            <w:drawing>
              <wp:anchor distT="0" distB="0" distL="114300" distR="114300" simplePos="0" relativeHeight="251662336" behindDoc="0" locked="0" layoutInCell="1" allowOverlap="1">
                <wp:simplePos x="0" y="0"/>
                <wp:positionH relativeFrom="column">
                  <wp:posOffset>311785</wp:posOffset>
                </wp:positionH>
                <wp:positionV relativeFrom="paragraph">
                  <wp:posOffset>212090</wp:posOffset>
                </wp:positionV>
                <wp:extent cx="5050790" cy="21590"/>
                <wp:effectExtent l="0" t="4445" r="8890" b="19685"/>
                <wp:wrapNone/>
                <wp:docPr id="14" name="直接连接符 5"/>
                <wp:cNvGraphicFramePr/>
                <a:graphic xmlns:a="http://schemas.openxmlformats.org/drawingml/2006/main">
                  <a:graphicData uri="http://schemas.microsoft.com/office/word/2010/wordprocessingShape">
                    <wps:wsp>
                      <wps:cNvCnPr/>
                      <wps:spPr>
                        <a:xfrm>
                          <a:off x="0" y="0"/>
                          <a:ext cx="5050790" cy="21590"/>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5" o:spid="_x0000_s1026" o:spt="20" style="position:absolute;left:0pt;margin-left:24.55pt;margin-top:16.7pt;height:1.7pt;width:397.7pt;z-index:251662336;mso-width-relative:page;mso-height-relative:page;" filled="f" stroked="t" coordsize="21600,21600" o:gfxdata="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4kn/51wAA&#10;AAgBAAAPAAAAAAAAAAEAIAAAADgAAABkcnMvZG93bnJldi54bWxQSwECFAAUAAAACACHTuJAFuGq&#10;etABAAB2AwAADgAAAAAAAAABACAAAAA8AQAAZHJzL2Uyb0RvYy54bWxQSwUGAAAAAAYABgBZAQAA&#10;fgUAAAAA&#10;">
                <v:fill on="f" focussize="0,0"/>
                <v:stroke weight="0.5pt" color="#000000" miterlimit="8" joinstyle="miter"/>
                <v:imagedata o:title=""/>
                <o:lock v:ext="edit" aspectratio="f"/>
              </v:line>
            </w:pict>
          </mc:Fallback>
        </mc:AlternateContent>
      </w:r>
    </w:p>
    <w:p>
      <w:pPr>
        <w:snapToGrid w:val="0"/>
        <w:spacing w:line="312" w:lineRule="auto"/>
        <w:ind w:firstLine="450" w:firstLineChars="250"/>
        <w:jc w:val="left"/>
        <w:rPr>
          <w:rFonts w:ascii="仿宋" w:hAnsi="仿宋" w:eastAsia="仿宋"/>
          <w:color w:val="000000" w:themeColor="text1"/>
          <w:sz w:val="24"/>
          <w:szCs w:val="30"/>
          <w14:textFill>
            <w14:solidFill>
              <w14:schemeClr w14:val="tx1"/>
            </w14:solidFill>
          </w14:textFill>
        </w:rPr>
      </w:pPr>
      <w:r>
        <w:rPr>
          <w:sz w:val="18"/>
          <w:vertAlign w:val="superscript"/>
        </w:rPr>
        <w:t>1</w:t>
      </w:r>
      <w:r>
        <w:rPr>
          <w:rFonts w:hint="eastAsia"/>
          <w:sz w:val="18"/>
        </w:rPr>
        <w:t>从业人员、营业收入、资产总额填报上一年度数据，无上一年度数据的新成立企业可不填报。</w:t>
      </w:r>
    </w:p>
    <w:p>
      <w:pPr>
        <w:jc w:val="left"/>
        <w:rPr>
          <w:rFonts w:ascii="仿宋" w:hAnsi="仿宋" w:eastAsia="仿宋"/>
          <w:b/>
          <w:color w:val="000000" w:themeColor="text1"/>
          <w:sz w:val="36"/>
          <w:szCs w:val="36"/>
          <w14:textFill>
            <w14:solidFill>
              <w14:schemeClr w14:val="tx1"/>
            </w14:solidFill>
          </w14:textFill>
        </w:rPr>
      </w:pPr>
      <w:r>
        <w:rPr>
          <w:rFonts w:ascii="仿宋" w:hAnsi="仿宋" w:eastAsia="仿宋"/>
          <w:b/>
          <w:color w:val="000000" w:themeColor="text1"/>
          <w:sz w:val="36"/>
          <w:szCs w:val="36"/>
          <w14:textFill>
            <w14:solidFill>
              <w14:schemeClr w14:val="tx1"/>
            </w14:solidFill>
          </w14:textFill>
        </w:rPr>
        <w:br w:type="page"/>
      </w:r>
    </w:p>
    <w:p>
      <w:pPr>
        <w:snapToGrid w:val="0"/>
        <w:spacing w:line="312" w:lineRule="auto"/>
        <w:ind w:firstLine="903" w:firstLineChars="2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中小企业声明函（工程、服务）</w:t>
      </w:r>
    </w:p>
    <w:p>
      <w:pPr>
        <w:snapToGrid w:val="0"/>
        <w:spacing w:line="312"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12" w:lineRule="auto"/>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 （标的名称），属于（采购文件中明确的所属行业）；承建（承接）企业为（企业名称），从业人员 人，营业收入为 万元，资产总额为 万元</w:t>
      </w:r>
      <w:r>
        <w:rPr>
          <w:rFonts w:hint="eastAsia" w:ascii="仿宋" w:hAnsi="仿宋" w:eastAsia="仿宋"/>
          <w:color w:val="000000" w:themeColor="text1"/>
          <w:sz w:val="30"/>
          <w:szCs w:val="30"/>
          <w:vertAlign w:val="superscript"/>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，属于（中型企业、小型企业、微型企业）；</w:t>
      </w:r>
    </w:p>
    <w:p>
      <w:pPr>
        <w:snapToGrid w:val="0"/>
        <w:spacing w:line="312" w:lineRule="auto"/>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 （标的名称），属于（采购文件中前附表明确的所属行业）；承建（承接）企业为（企业名称），从业人员 人，营业收入为 万元，资产总额为 万元，属于（中型企业、小型企业、微型企业）；</w:t>
      </w:r>
    </w:p>
    <w:p>
      <w:pPr>
        <w:snapToGrid w:val="0"/>
        <w:spacing w:line="312" w:lineRule="auto"/>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p>
      <w:pPr>
        <w:snapToGrid w:val="0"/>
        <w:spacing w:line="312"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以上企业，不属于大企业的分支机构，不存在控股股东为大企业的情形，也不存在与大企业的负责人为同一人的情形。</w:t>
      </w:r>
    </w:p>
    <w:p>
      <w:pPr>
        <w:snapToGrid w:val="0"/>
        <w:spacing w:line="312"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本企业对上述声明内容的真实性负责。如有虚假，将依法承担相应责任。</w:t>
      </w:r>
    </w:p>
    <w:p>
      <w:pPr>
        <w:snapToGrid w:val="0"/>
        <w:spacing w:line="312" w:lineRule="auto"/>
        <w:ind w:right="1444" w:firstLine="750" w:firstLineChars="250"/>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企业名称（盖章）： </w:t>
      </w:r>
    </w:p>
    <w:p>
      <w:pPr>
        <w:snapToGrid w:val="0"/>
        <w:spacing w:line="312" w:lineRule="auto"/>
        <w:ind w:right="1444" w:firstLine="750" w:firstLineChars="250"/>
        <w:jc w:val="right"/>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 期：</w:t>
      </w:r>
    </w:p>
    <w:p>
      <w:pPr>
        <w:pStyle w:val="2"/>
        <w:rPr>
          <w:rFonts w:hint="eastAsia" w:ascii="仿宋" w:hAnsi="仿宋" w:eastAsia="仿宋"/>
          <w:color w:val="000000" w:themeColor="text1"/>
          <w:sz w:val="30"/>
          <w:szCs w:val="30"/>
          <w14:textFill>
            <w14:solidFill>
              <w14:schemeClr w14:val="tx1"/>
            </w14:solidFill>
          </w14:textFill>
        </w:rPr>
      </w:pPr>
    </w:p>
    <w:p>
      <w:pPr>
        <w:rPr>
          <w:rFonts w:hint="eastAsia" w:ascii="仿宋" w:hAnsi="仿宋" w:eastAsia="仿宋"/>
          <w:color w:val="000000" w:themeColor="text1"/>
          <w:sz w:val="30"/>
          <w:szCs w:val="30"/>
          <w14:textFill>
            <w14:solidFill>
              <w14:schemeClr w14:val="tx1"/>
            </w14:solidFill>
          </w14:textFill>
        </w:rPr>
      </w:pPr>
    </w:p>
    <w:p>
      <w:pPr>
        <w:pStyle w:val="2"/>
      </w:pPr>
    </w:p>
    <w:p>
      <w:pPr>
        <w:snapToGrid w:val="0"/>
        <w:spacing w:line="312" w:lineRule="auto"/>
        <w:ind w:firstLine="525" w:firstLineChars="250"/>
        <w:jc w:val="left"/>
        <w:rPr>
          <w:rFonts w:ascii="仿宋" w:hAnsi="仿宋" w:eastAsia="仿宋"/>
          <w:color w:val="000000" w:themeColor="text1"/>
          <w:sz w:val="30"/>
          <w:szCs w:val="30"/>
          <w14:textFill>
            <w14:solidFill>
              <w14:schemeClr w14:val="tx1"/>
            </w14:solidFill>
          </w14:textFill>
        </w:rPr>
      </w:pPr>
      <w:r>
        <mc:AlternateContent>
          <mc:Choice Requires="wps">
            <w:drawing>
              <wp:anchor distT="0" distB="0" distL="114300" distR="114300" simplePos="0" relativeHeight="251663360" behindDoc="0" locked="0" layoutInCell="1" allowOverlap="1">
                <wp:simplePos x="0" y="0"/>
                <wp:positionH relativeFrom="column">
                  <wp:posOffset>311785</wp:posOffset>
                </wp:positionH>
                <wp:positionV relativeFrom="paragraph">
                  <wp:posOffset>212090</wp:posOffset>
                </wp:positionV>
                <wp:extent cx="5050790" cy="21590"/>
                <wp:effectExtent l="0" t="4445" r="8890" b="19685"/>
                <wp:wrapNone/>
                <wp:docPr id="15" name="直接连接符 4"/>
                <wp:cNvGraphicFramePr/>
                <a:graphic xmlns:a="http://schemas.openxmlformats.org/drawingml/2006/main">
                  <a:graphicData uri="http://schemas.microsoft.com/office/word/2010/wordprocessingShape">
                    <wps:wsp>
                      <wps:cNvCnPr/>
                      <wps:spPr>
                        <a:xfrm>
                          <a:off x="0" y="0"/>
                          <a:ext cx="5050790" cy="21590"/>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4" o:spid="_x0000_s1026" o:spt="20" style="position:absolute;left:0pt;margin-left:24.55pt;margin-top:16.7pt;height:1.7pt;width:397.7pt;z-index:251663360;mso-width-relative:page;mso-height-relative:page;" filled="f" stroked="t" coordsize="21600,21600" o:gfxdata="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4kn/51wAA&#10;AAgBAAAPAAAAAAAAAAEAIAAAADgAAABkcnMvZG93bnJldi54bWxQSwECFAAUAAAACACHTuJAJ6lq&#10;udABAAB2AwAADgAAAAAAAAABACAAAAA8AQAAZHJzL2Uyb0RvYy54bWxQSwUGAAAAAAYABgBZAQAA&#10;fgUAAAAA&#10;">
                <v:fill on="f" focussize="0,0"/>
                <v:stroke weight="0.5pt" color="#000000" miterlimit="8" joinstyle="miter"/>
                <v:imagedata o:title=""/>
                <o:lock v:ext="edit" aspectratio="f"/>
              </v:line>
            </w:pict>
          </mc:Fallback>
        </mc:AlternateContent>
      </w:r>
    </w:p>
    <w:p>
      <w:pPr>
        <w:snapToGrid w:val="0"/>
        <w:spacing w:line="312" w:lineRule="auto"/>
        <w:ind w:firstLine="450" w:firstLineChars="250"/>
        <w:jc w:val="left"/>
        <w:rPr>
          <w:rFonts w:hint="eastAsia" w:ascii="仿宋" w:hAnsi="仿宋" w:eastAsia="仿宋"/>
          <w:b/>
          <w:color w:val="000000" w:themeColor="text1"/>
          <w:sz w:val="30"/>
          <w:szCs w:val="30"/>
          <w14:textFill>
            <w14:solidFill>
              <w14:schemeClr w14:val="tx1"/>
            </w14:solidFill>
          </w14:textFill>
        </w:rPr>
      </w:pPr>
      <w:r>
        <w:rPr>
          <w:sz w:val="18"/>
          <w:vertAlign w:val="superscript"/>
        </w:rPr>
        <w:t>1</w:t>
      </w:r>
      <w:r>
        <w:rPr>
          <w:rFonts w:hint="eastAsia"/>
          <w:sz w:val="18"/>
        </w:rPr>
        <w:t>从业人员、营业收入、资产总额填报上一年度数据，无上一年度数据的新成立企业可不填报。</w:t>
      </w:r>
    </w:p>
    <w:p>
      <w:pPr>
        <w:snapToGrid w:val="0"/>
        <w:spacing w:line="312" w:lineRule="auto"/>
        <w:rPr>
          <w:rFonts w:hint="eastAsia" w:ascii="仿宋" w:hAnsi="仿宋" w:eastAsia="仿宋"/>
          <w:b/>
          <w:color w:val="000000" w:themeColor="text1"/>
          <w:sz w:val="30"/>
          <w:szCs w:val="30"/>
          <w14:textFill>
            <w14:solidFill>
              <w14:schemeClr w14:val="tx1"/>
            </w14:solidFill>
          </w14:textFill>
        </w:rPr>
      </w:pPr>
    </w:p>
    <w:p>
      <w:pPr>
        <w:snapToGrid w:val="0"/>
        <w:spacing w:line="312" w:lineRule="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备注说明：</w:t>
      </w:r>
    </w:p>
    <w:p>
      <w:pPr>
        <w:snapToGrid w:val="0"/>
        <w:spacing w:line="312"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如联合体投标时，联合体各方均为小型、微型企业的，联合体各方须提供《中小企业声明函》；联合体其中一方为小型、微型企业的，联合协议中须约定小型、微型企业的协议合同金额占到联合体协议合同总额30%以上。</w:t>
      </w:r>
    </w:p>
    <w:p>
      <w:pPr>
        <w:numPr>
          <w:ilvl w:val="255"/>
          <w:numId w:val="0"/>
        </w:numPr>
        <w:tabs>
          <w:tab w:val="left" w:pos="-420"/>
        </w:tabs>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投标人根据本项目实际类型（货物或工程、服务类项目）选择相应的声明函模板进行填写。</w:t>
      </w:r>
    </w:p>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附件15：</w:t>
      </w:r>
    </w:p>
    <w:p>
      <w:pPr>
        <w:rPr>
          <w:rFonts w:ascii="仿宋" w:hAnsi="仿宋" w:eastAsia="仿宋"/>
          <w:color w:val="000000" w:themeColor="text1"/>
          <w14:textFill>
            <w14:solidFill>
              <w14:schemeClr w14:val="tx1"/>
            </w14:solidFill>
          </w14:textFill>
        </w:rPr>
      </w:pPr>
    </w:p>
    <w:p>
      <w:pPr>
        <w:spacing w:line="588" w:lineRule="exact"/>
        <w:jc w:val="center"/>
        <w:rPr>
          <w:rFonts w:ascii="仿宋_GB2312" w:eastAsia="仿宋_GB2312"/>
          <w:b/>
          <w:color w:val="000000" w:themeColor="text1"/>
          <w:spacing w:val="6"/>
          <w:sz w:val="32"/>
          <w:szCs w:val="32"/>
          <w14:textFill>
            <w14:solidFill>
              <w14:schemeClr w14:val="tx1"/>
            </w14:solidFill>
          </w14:textFill>
        </w:rPr>
      </w:pPr>
      <w:r>
        <w:rPr>
          <w:rFonts w:hint="eastAsia" w:ascii="仿宋_GB2312" w:eastAsia="仿宋_GB2312"/>
          <w:b/>
          <w:color w:val="000000" w:themeColor="text1"/>
          <w:spacing w:val="6"/>
          <w:sz w:val="32"/>
          <w:szCs w:val="32"/>
          <w14:textFill>
            <w14:solidFill>
              <w14:schemeClr w14:val="tx1"/>
            </w14:solidFill>
          </w14:textFill>
        </w:rPr>
        <w:t>残疾人福利性单位声明函</w:t>
      </w:r>
    </w:p>
    <w:p>
      <w:pPr>
        <w:spacing w:line="588" w:lineRule="exact"/>
        <w:rPr>
          <w:rFonts w:ascii="仿宋_GB2312" w:eastAsia="仿宋_GB2312"/>
          <w:b/>
          <w:color w:val="000000" w:themeColor="text1"/>
          <w:spacing w:val="6"/>
          <w:sz w:val="30"/>
          <w:szCs w:val="30"/>
          <w14:textFill>
            <w14:solidFill>
              <w14:schemeClr w14:val="tx1"/>
            </w14:solidFill>
          </w14:textFill>
        </w:rPr>
      </w:pPr>
    </w:p>
    <w:p>
      <w:pPr>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本单位对上述声明的真实性负责。如有虚假，将依法承担相应责任。</w:t>
      </w:r>
    </w:p>
    <w:p>
      <w:pPr>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p>
    <w:p>
      <w:pPr>
        <w:spacing w:line="588" w:lineRule="exact"/>
        <w:ind w:firstLine="624" w:firstLineChars="200"/>
        <w:rPr>
          <w:rFonts w:ascii="仿宋_GB2312" w:eastAsia="仿宋_GB2312"/>
          <w:color w:val="000000" w:themeColor="text1"/>
          <w:spacing w:val="6"/>
          <w:sz w:val="30"/>
          <w:szCs w:val="30"/>
          <w14:textFill>
            <w14:solidFill>
              <w14:schemeClr w14:val="tx1"/>
            </w14:solidFill>
          </w14:textFill>
        </w:rPr>
      </w:pPr>
    </w:p>
    <w:p>
      <w:pPr>
        <w:snapToGrid w:val="0"/>
        <w:spacing w:line="360" w:lineRule="auto"/>
        <w:ind w:firstLine="624" w:firstLineChars="200"/>
        <w:jc w:val="right"/>
        <w:rPr>
          <w:rFonts w:ascii="仿宋" w:hAnsi="仿宋" w:eastAsia="仿宋"/>
          <w:color w:val="000000" w:themeColor="text1"/>
          <w:sz w:val="28"/>
          <w:szCs w:val="28"/>
          <w14:textFill>
            <w14:solidFill>
              <w14:schemeClr w14:val="tx1"/>
            </w14:solidFill>
          </w14:textFill>
        </w:rPr>
      </w:pPr>
      <w:r>
        <w:rPr>
          <w:rFonts w:hint="eastAsia" w:ascii="仿宋_GB2312" w:eastAsia="仿宋_GB2312"/>
          <w:color w:val="000000" w:themeColor="text1"/>
          <w:spacing w:val="6"/>
          <w:sz w:val="30"/>
          <w:szCs w:val="30"/>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单位名称（盖章）：</w:t>
      </w:r>
    </w:p>
    <w:p>
      <w:pPr>
        <w:snapToGrid w:val="0"/>
        <w:spacing w:line="360" w:lineRule="auto"/>
        <w:ind w:firstLine="560" w:firstLineChars="2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日  期：</w:t>
      </w:r>
    </w:p>
    <w:p>
      <w:pPr>
        <w:rPr>
          <w:rFonts w:ascii="仿宋" w:hAnsi="仿宋" w:eastAsia="仿宋"/>
          <w:color w:val="000000" w:themeColor="text1"/>
          <w:sz w:val="24"/>
          <w:szCs w:val="24"/>
          <w14:textFill>
            <w14:solidFill>
              <w14:schemeClr w14:val="tx1"/>
            </w14:solidFill>
          </w14:textFill>
        </w:rPr>
      </w:pPr>
    </w:p>
    <w:p>
      <w:pPr>
        <w:tabs>
          <w:tab w:val="left" w:pos="606"/>
        </w:tabs>
        <w:rPr>
          <w:rFonts w:ascii="仿宋" w:hAnsi="仿宋" w:eastAsia="仿宋"/>
          <w:sz w:val="30"/>
          <w:szCs w:val="30"/>
        </w:rPr>
      </w:pPr>
    </w:p>
    <w:p>
      <w:pPr>
        <w:widowControl/>
        <w:jc w:val="left"/>
        <w:rPr>
          <w:rFonts w:ascii="仿宋" w:hAnsi="仿宋" w:eastAsia="仿宋"/>
          <w:sz w:val="28"/>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等线">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 PAGE </w:instrText>
    </w:r>
    <w:r>
      <w:rPr>
        <w:rStyle w:val="32"/>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32"/>
                            </w:rPr>
                            <w:id w:val="-846865515"/>
                          </w:sdtPr>
                          <w:sdtEndPr>
                            <w:rPr>
                              <w:rStyle w:val="32"/>
                            </w:rPr>
                          </w:sdtEndPr>
                          <w:sdtContent>
                            <w:p>
                              <w:pPr>
                                <w:pStyle w:val="20"/>
                                <w:rPr>
                                  <w:rStyle w:val="32"/>
                                </w:rPr>
                              </w:pPr>
                              <w:r>
                                <w:rPr>
                                  <w:rStyle w:val="32"/>
                                </w:rPr>
                                <w:fldChar w:fldCharType="begin"/>
                              </w:r>
                              <w:r>
                                <w:rPr>
                                  <w:rStyle w:val="32"/>
                                </w:rPr>
                                <w:instrText xml:space="preserve"> PAGE </w:instrText>
                              </w:r>
                              <w:r>
                                <w:rPr>
                                  <w:rStyle w:val="32"/>
                                </w:rPr>
                                <w:fldChar w:fldCharType="separate"/>
                              </w:r>
                              <w:r>
                                <w:rPr>
                                  <w:rStyle w:val="32"/>
                                </w:rPr>
                                <w:t>50</w:t>
                              </w:r>
                              <w:r>
                                <w:rPr>
                                  <w:rStyle w:val="32"/>
                                </w:rP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sdt>
                    <w:sdtPr>
                      <w:rPr>
                        <w:rStyle w:val="32"/>
                      </w:rPr>
                      <w:id w:val="-846865515"/>
                    </w:sdtPr>
                    <w:sdtEndPr>
                      <w:rPr>
                        <w:rStyle w:val="32"/>
                      </w:rPr>
                    </w:sdtEndPr>
                    <w:sdtContent>
                      <w:p>
                        <w:pPr>
                          <w:pStyle w:val="20"/>
                          <w:rPr>
                            <w:rStyle w:val="32"/>
                          </w:rPr>
                        </w:pPr>
                        <w:r>
                          <w:rPr>
                            <w:rStyle w:val="32"/>
                          </w:rPr>
                          <w:fldChar w:fldCharType="begin"/>
                        </w:r>
                        <w:r>
                          <w:rPr>
                            <w:rStyle w:val="32"/>
                          </w:rPr>
                          <w:instrText xml:space="preserve"> PAGE </w:instrText>
                        </w:r>
                        <w:r>
                          <w:rPr>
                            <w:rStyle w:val="32"/>
                          </w:rPr>
                          <w:fldChar w:fldCharType="separate"/>
                        </w:r>
                        <w:r>
                          <w:rPr>
                            <w:rStyle w:val="32"/>
                          </w:rPr>
                          <w:t>50</w:t>
                        </w:r>
                        <w:r>
                          <w:rPr>
                            <w:rStyle w:val="32"/>
                          </w:rPr>
                          <w:fldChar w:fldCharType="end"/>
                        </w:r>
                      </w:p>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70516"/>
    <w:multiLevelType w:val="singleLevel"/>
    <w:tmpl w:val="C6E70516"/>
    <w:lvl w:ilvl="0" w:tentative="0">
      <w:start w:val="4"/>
      <w:numFmt w:val="decimal"/>
      <w:lvlText w:val="%1."/>
      <w:lvlJc w:val="left"/>
      <w:pPr>
        <w:tabs>
          <w:tab w:val="left" w:pos="312"/>
        </w:tabs>
      </w:pPr>
    </w:lvl>
  </w:abstractNum>
  <w:abstractNum w:abstractNumId="1">
    <w:nsid w:val="F2FECFD5"/>
    <w:multiLevelType w:val="multilevel"/>
    <w:tmpl w:val="F2FECFD5"/>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587212"/>
    <w:multiLevelType w:val="multilevel"/>
    <w:tmpl w:val="19587212"/>
    <w:lvl w:ilvl="0" w:tentative="0">
      <w:start w:val="1"/>
      <w:numFmt w:val="japaneseCounting"/>
      <w:lvlText w:val="第%1条"/>
      <w:lvlJc w:val="left"/>
      <w:pPr>
        <w:ind w:left="1968" w:hanging="975"/>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26A54D7D"/>
    <w:multiLevelType w:val="multilevel"/>
    <w:tmpl w:val="26A54D7D"/>
    <w:lvl w:ilvl="0" w:tentative="0">
      <w:start w:val="1"/>
      <w:numFmt w:val="decimal"/>
      <w:suff w:val="space"/>
      <w:lvlText w:val="%1."/>
      <w:lvlJc w:val="left"/>
      <w:pPr>
        <w:ind w:left="986" w:hanging="420"/>
      </w:pPr>
      <w:rPr>
        <w:rFonts w:hint="eastAsia"/>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4">
    <w:nsid w:val="30F02BD8"/>
    <w:multiLevelType w:val="multilevel"/>
    <w:tmpl w:val="30F02BD8"/>
    <w:lvl w:ilvl="0" w:tentative="0">
      <w:start w:val="1"/>
      <w:numFmt w:val="decimal"/>
      <w:lvlText w:val="%1."/>
      <w:lvlJc w:val="left"/>
      <w:pPr>
        <w:ind w:left="845" w:hanging="420"/>
      </w:pPr>
      <w:rPr>
        <w:b/>
        <w:color w:val="auto"/>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49C795BA"/>
    <w:multiLevelType w:val="singleLevel"/>
    <w:tmpl w:val="49C795BA"/>
    <w:lvl w:ilvl="0" w:tentative="0">
      <w:start w:val="1"/>
      <w:numFmt w:val="chineseCounting"/>
      <w:suff w:val="nothing"/>
      <w:lvlText w:val="%1、"/>
      <w:lvlJc w:val="left"/>
      <w:rPr>
        <w:rFonts w:hint="eastAsia"/>
      </w:rPr>
    </w:lvl>
  </w:abstractNum>
  <w:abstractNum w:abstractNumId="6">
    <w:nsid w:val="4BB935AA"/>
    <w:multiLevelType w:val="multilevel"/>
    <w:tmpl w:val="4BB935AA"/>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7">
    <w:nsid w:val="4ED16D65"/>
    <w:multiLevelType w:val="multilevel"/>
    <w:tmpl w:val="4ED16D65"/>
    <w:lvl w:ilvl="0" w:tentative="0">
      <w:start w:val="1"/>
      <w:numFmt w:val="decimal"/>
      <w:lvlText w:val="（%1）"/>
      <w:lvlJc w:val="left"/>
      <w:pPr>
        <w:ind w:left="980" w:hanging="420"/>
      </w:pPr>
      <w:rPr>
        <w:rFonts w:hint="eastAsia"/>
      </w:rPr>
    </w:lvl>
    <w:lvl w:ilvl="1" w:tentative="0">
      <w:start w:val="1"/>
      <w:numFmt w:val="decimal"/>
      <w:suff w:val="nothing"/>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611A6836"/>
    <w:multiLevelType w:val="multilevel"/>
    <w:tmpl w:val="611A6836"/>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9">
    <w:nsid w:val="6EF3398E"/>
    <w:multiLevelType w:val="singleLevel"/>
    <w:tmpl w:val="6EF3398E"/>
    <w:lvl w:ilvl="0" w:tentative="0">
      <w:start w:val="4"/>
      <w:numFmt w:val="chineseCounting"/>
      <w:suff w:val="space"/>
      <w:lvlText w:val="第%1章"/>
      <w:lvlJc w:val="left"/>
      <w:rPr>
        <w:rFonts w:hint="eastAsia"/>
      </w:rPr>
    </w:lvl>
  </w:abstractNum>
  <w:abstractNum w:abstractNumId="10">
    <w:nsid w:val="73281DE1"/>
    <w:multiLevelType w:val="multilevel"/>
    <w:tmpl w:val="73281DE1"/>
    <w:lvl w:ilvl="0" w:tentative="0">
      <w:start w:val="1"/>
      <w:numFmt w:val="decimal"/>
      <w:lvlText w:val="%1、"/>
      <w:lvlJc w:val="left"/>
      <w:pPr>
        <w:ind w:left="1020" w:hanging="4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796452E8"/>
    <w:multiLevelType w:val="multilevel"/>
    <w:tmpl w:val="796452E8"/>
    <w:lvl w:ilvl="0" w:tentative="0">
      <w:start w:val="1"/>
      <w:numFmt w:val="japaneseCounting"/>
      <w:pStyle w:val="3"/>
      <w:lvlText w:val="%1、"/>
      <w:lvlJc w:val="left"/>
      <w:pPr>
        <w:tabs>
          <w:tab w:val="left" w:pos="-420"/>
        </w:tabs>
        <w:ind w:left="4632" w:hanging="432"/>
      </w:pPr>
      <w:rPr>
        <w:rFonts w:ascii="Arial" w:hAnsi="Arial" w:eastAsia="宋体" w:cs="Times New Roman"/>
        <w:b/>
        <w:bCs w:val="0"/>
        <w:i w:val="0"/>
        <w:iCs w:val="0"/>
        <w:caps w:val="0"/>
        <w:smallCaps w:val="0"/>
        <w:strike w:val="0"/>
        <w:dstrike w:val="0"/>
        <w:vanish w:val="0"/>
        <w:spacing w:val="0"/>
        <w:position w:val="0"/>
        <w:sz w:val="28"/>
        <w:szCs w:val="28"/>
        <w:u w:val="none"/>
        <w:vertAlign w:val="baseline"/>
      </w:rPr>
    </w:lvl>
    <w:lvl w:ilvl="1" w:tentative="0">
      <w:start w:val="1"/>
      <w:numFmt w:val="decimal"/>
      <w:pStyle w:val="4"/>
      <w:isLgl/>
      <w:lvlText w:val="%1.%2"/>
      <w:lvlJc w:val="left"/>
      <w:pPr>
        <w:tabs>
          <w:tab w:val="left" w:pos="-420"/>
        </w:tabs>
        <w:ind w:left="156" w:hanging="576"/>
      </w:pPr>
      <w:rPr>
        <w:rFonts w:hint="default" w:ascii="Arial" w:hAnsi="Arial" w:cs="Arial"/>
        <w:b/>
        <w:bCs w:val="0"/>
        <w:i w:val="0"/>
        <w:iCs w:val="0"/>
        <w:caps w:val="0"/>
        <w:smallCaps w:val="0"/>
        <w:strike w:val="0"/>
        <w:dstrike w:val="0"/>
        <w:vanish w:val="0"/>
        <w:color w:val="000000"/>
        <w:spacing w:val="0"/>
        <w:position w:val="0"/>
        <w:sz w:val="28"/>
        <w:szCs w:val="28"/>
        <w:u w:val="none"/>
        <w:vertAlign w:val="baseline"/>
      </w:rPr>
    </w:lvl>
    <w:lvl w:ilvl="2" w:tentative="0">
      <w:start w:val="1"/>
      <w:numFmt w:val="decimal"/>
      <w:pStyle w:val="5"/>
      <w:isLgl/>
      <w:lvlText w:val="%1.%2.%3"/>
      <w:lvlJc w:val="left"/>
      <w:pPr>
        <w:tabs>
          <w:tab w:val="left" w:pos="-420"/>
        </w:tabs>
        <w:ind w:left="300" w:hanging="720"/>
      </w:pPr>
      <w:rPr>
        <w:rFonts w:hint="default" w:ascii="Arial" w:hAnsi="Arial" w:cs="Arial"/>
        <w:b/>
        <w:i w:val="0"/>
        <w:iCs w:val="0"/>
        <w:caps w:val="0"/>
        <w:strike w:val="0"/>
        <w:dstrike w:val="0"/>
        <w:vanish w:val="0"/>
        <w:color w:val="000000"/>
        <w:spacing w:val="0"/>
        <w:position w:val="0"/>
        <w:u w:val="none"/>
        <w:vertAlign w:val="baseline"/>
      </w:rPr>
    </w:lvl>
    <w:lvl w:ilvl="3" w:tentative="0">
      <w:start w:val="1"/>
      <w:numFmt w:val="decimal"/>
      <w:pStyle w:val="6"/>
      <w:isLgl/>
      <w:lvlText w:val="%1.%2.%3.%4"/>
      <w:lvlJc w:val="left"/>
      <w:pPr>
        <w:tabs>
          <w:tab w:val="left" w:pos="-420"/>
        </w:tabs>
        <w:ind w:left="431" w:hanging="851"/>
      </w:pPr>
      <w:rPr>
        <w:rFonts w:hint="default" w:ascii="Arial" w:hAnsi="Arial" w:cs="Arial"/>
        <w:b/>
        <w:i w:val="0"/>
        <w:iCs w:val="0"/>
        <w:caps w:val="0"/>
        <w:strike w:val="0"/>
        <w:dstrike w:val="0"/>
        <w:vanish w:val="0"/>
        <w:color w:val="000000"/>
        <w:spacing w:val="0"/>
        <w:position w:val="0"/>
        <w:u w:val="none"/>
        <w:vertAlign w:val="baseline"/>
      </w:rPr>
    </w:lvl>
    <w:lvl w:ilvl="4" w:tentative="0">
      <w:start w:val="1"/>
      <w:numFmt w:val="decimal"/>
      <w:isLgl/>
      <w:suff w:val="space"/>
      <w:lvlText w:val="%1.%2.%3.%4.%5"/>
      <w:lvlJc w:val="left"/>
      <w:pPr>
        <w:ind w:left="588" w:hanging="1008"/>
      </w:pPr>
      <w:rPr>
        <w:rFonts w:hint="default" w:ascii="Arial" w:hAnsi="Arial" w:cs="Arial"/>
        <w:b/>
        <w:bCs w:val="0"/>
        <w:i w:val="0"/>
        <w:iCs w:val="0"/>
        <w:caps w:val="0"/>
        <w:smallCaps w:val="0"/>
        <w:strike w:val="0"/>
        <w:dstrike w:val="0"/>
        <w:vanish w:val="0"/>
        <w:color w:val="000000"/>
        <w:spacing w:val="0"/>
        <w:position w:val="0"/>
        <w:u w:val="none"/>
        <w:vertAlign w:val="baseline"/>
      </w:rPr>
    </w:lvl>
    <w:lvl w:ilvl="5" w:tentative="0">
      <w:start w:val="1"/>
      <w:numFmt w:val="decimal"/>
      <w:isLgl/>
      <w:lvlText w:val="%1.%2.%3.%4.%5.%6"/>
      <w:lvlJc w:val="left"/>
      <w:pPr>
        <w:tabs>
          <w:tab w:val="left" w:pos="-420"/>
        </w:tabs>
        <w:ind w:left="732" w:hanging="1152"/>
      </w:pPr>
      <w:rPr>
        <w:rFonts w:hint="default" w:ascii="Arial" w:hAnsi="Arial" w:cs="Arial"/>
        <w:b/>
        <w:i w:val="0"/>
        <w:iCs w:val="0"/>
        <w:caps w:val="0"/>
        <w:strike w:val="0"/>
        <w:dstrike w:val="0"/>
        <w:vanish w:val="0"/>
        <w:color w:val="000000"/>
        <w:spacing w:val="0"/>
        <w:position w:val="0"/>
        <w:u w:val="none"/>
        <w:vertAlign w:val="baseline"/>
      </w:rPr>
    </w:lvl>
    <w:lvl w:ilvl="6" w:tentative="0">
      <w:start w:val="1"/>
      <w:numFmt w:val="decimal"/>
      <w:isLgl/>
      <w:lvlText w:val="%1.%2.%3.%4.%5.%6.%7"/>
      <w:lvlJc w:val="left"/>
      <w:pPr>
        <w:tabs>
          <w:tab w:val="left" w:pos="-420"/>
        </w:tabs>
        <w:ind w:left="876" w:hanging="1296"/>
      </w:pPr>
      <w:rPr>
        <w:rFonts w:hint="default" w:ascii="Arial" w:hAnsi="Arial" w:cs="Arial"/>
        <w:b/>
        <w:i w:val="0"/>
        <w:iCs w:val="0"/>
        <w:caps w:val="0"/>
        <w:strike w:val="0"/>
        <w:dstrike w:val="0"/>
        <w:vanish w:val="0"/>
        <w:color w:val="000000"/>
        <w:spacing w:val="0"/>
        <w:position w:val="0"/>
        <w:u w:val="none"/>
        <w:vertAlign w:val="baseline"/>
      </w:rPr>
    </w:lvl>
    <w:lvl w:ilvl="7" w:tentative="0">
      <w:start w:val="1"/>
      <w:numFmt w:val="decimal"/>
      <w:isLgl/>
      <w:lvlText w:val="%1.%2.%3.%4.%5.%6.%7.%8"/>
      <w:lvlJc w:val="left"/>
      <w:pPr>
        <w:tabs>
          <w:tab w:val="left" w:pos="-420"/>
        </w:tabs>
        <w:ind w:left="1020" w:hanging="1440"/>
      </w:pPr>
      <w:rPr>
        <w:rFonts w:hint="eastAsia"/>
      </w:rPr>
    </w:lvl>
    <w:lvl w:ilvl="8" w:tentative="0">
      <w:start w:val="1"/>
      <w:numFmt w:val="decimal"/>
      <w:isLgl/>
      <w:lvlText w:val="%1.%2.%3.%4.%5.%6.%7.%8.%9"/>
      <w:lvlJc w:val="left"/>
      <w:pPr>
        <w:tabs>
          <w:tab w:val="left" w:pos="-420"/>
        </w:tabs>
        <w:ind w:left="1164" w:hanging="1584"/>
      </w:pPr>
      <w:rPr>
        <w:rFonts w:hint="eastAsia"/>
      </w:rPr>
    </w:lvl>
  </w:abstractNum>
  <w:num w:numId="1">
    <w:abstractNumId w:val="11"/>
  </w:num>
  <w:num w:numId="2">
    <w:abstractNumId w:val="5"/>
  </w:num>
  <w:num w:numId="3">
    <w:abstractNumId w:val="10"/>
  </w:num>
  <w:num w:numId="4">
    <w:abstractNumId w:val="0"/>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7"/>
  </w:num>
  <w:num w:numId="11">
    <w:abstractNumId w:val="8"/>
  </w:num>
  <w:num w:numId="12">
    <w:abstractNumId w:val="2"/>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ort">
    <w15:presenceInfo w15:providerId="None" w15:userId="spo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OTE0OWVkZmZlMDIxYzM0Y2Q2NWY4Njk4YjczNzYifQ=="/>
  </w:docVars>
  <w:rsids>
    <w:rsidRoot w:val="005902FD"/>
    <w:rsid w:val="00025424"/>
    <w:rsid w:val="00034216"/>
    <w:rsid w:val="0004441C"/>
    <w:rsid w:val="00052FF7"/>
    <w:rsid w:val="00054719"/>
    <w:rsid w:val="0006525B"/>
    <w:rsid w:val="00075B08"/>
    <w:rsid w:val="00082D16"/>
    <w:rsid w:val="00094EDF"/>
    <w:rsid w:val="000D2A11"/>
    <w:rsid w:val="000E62CB"/>
    <w:rsid w:val="000F1216"/>
    <w:rsid w:val="000F22D3"/>
    <w:rsid w:val="000F4D65"/>
    <w:rsid w:val="00106B3D"/>
    <w:rsid w:val="00110E05"/>
    <w:rsid w:val="001131C9"/>
    <w:rsid w:val="0011391D"/>
    <w:rsid w:val="00117B60"/>
    <w:rsid w:val="00131F85"/>
    <w:rsid w:val="00147831"/>
    <w:rsid w:val="001563AF"/>
    <w:rsid w:val="00167716"/>
    <w:rsid w:val="00184A48"/>
    <w:rsid w:val="00194333"/>
    <w:rsid w:val="001A510C"/>
    <w:rsid w:val="001A51B5"/>
    <w:rsid w:val="001D4925"/>
    <w:rsid w:val="001D6327"/>
    <w:rsid w:val="001D6578"/>
    <w:rsid w:val="001E630B"/>
    <w:rsid w:val="001F6BC0"/>
    <w:rsid w:val="002061D5"/>
    <w:rsid w:val="00212B61"/>
    <w:rsid w:val="0021523F"/>
    <w:rsid w:val="0022648B"/>
    <w:rsid w:val="00237FD5"/>
    <w:rsid w:val="00262F19"/>
    <w:rsid w:val="0026742F"/>
    <w:rsid w:val="002757D6"/>
    <w:rsid w:val="00297880"/>
    <w:rsid w:val="002A6015"/>
    <w:rsid w:val="002B0864"/>
    <w:rsid w:val="002B3586"/>
    <w:rsid w:val="002B5D35"/>
    <w:rsid w:val="002D0FA1"/>
    <w:rsid w:val="00320BDC"/>
    <w:rsid w:val="00326CC6"/>
    <w:rsid w:val="00344C19"/>
    <w:rsid w:val="003562D9"/>
    <w:rsid w:val="00361134"/>
    <w:rsid w:val="0036298C"/>
    <w:rsid w:val="00387900"/>
    <w:rsid w:val="003A5B82"/>
    <w:rsid w:val="003C7557"/>
    <w:rsid w:val="003E2A0D"/>
    <w:rsid w:val="00404507"/>
    <w:rsid w:val="004268D8"/>
    <w:rsid w:val="00434E8D"/>
    <w:rsid w:val="004461E6"/>
    <w:rsid w:val="00450A95"/>
    <w:rsid w:val="00451D4A"/>
    <w:rsid w:val="0045411B"/>
    <w:rsid w:val="00471153"/>
    <w:rsid w:val="00472ACB"/>
    <w:rsid w:val="004B09B9"/>
    <w:rsid w:val="004B4E00"/>
    <w:rsid w:val="004D3A3A"/>
    <w:rsid w:val="004E0D28"/>
    <w:rsid w:val="00530B21"/>
    <w:rsid w:val="00541B1C"/>
    <w:rsid w:val="00543BF1"/>
    <w:rsid w:val="00566B37"/>
    <w:rsid w:val="005901B3"/>
    <w:rsid w:val="005902FD"/>
    <w:rsid w:val="005B23CC"/>
    <w:rsid w:val="005C6759"/>
    <w:rsid w:val="00612BE9"/>
    <w:rsid w:val="00617B37"/>
    <w:rsid w:val="00625EF0"/>
    <w:rsid w:val="00646BB0"/>
    <w:rsid w:val="00665BAD"/>
    <w:rsid w:val="0066729C"/>
    <w:rsid w:val="006759D0"/>
    <w:rsid w:val="0068169F"/>
    <w:rsid w:val="006D7F4F"/>
    <w:rsid w:val="006E7469"/>
    <w:rsid w:val="006F02DE"/>
    <w:rsid w:val="007102A0"/>
    <w:rsid w:val="007164E9"/>
    <w:rsid w:val="00721974"/>
    <w:rsid w:val="00725AD7"/>
    <w:rsid w:val="00726020"/>
    <w:rsid w:val="00751BD5"/>
    <w:rsid w:val="0076516C"/>
    <w:rsid w:val="00772800"/>
    <w:rsid w:val="007E5ABD"/>
    <w:rsid w:val="00805851"/>
    <w:rsid w:val="00845DE9"/>
    <w:rsid w:val="00890BD4"/>
    <w:rsid w:val="00893A8A"/>
    <w:rsid w:val="008B1659"/>
    <w:rsid w:val="008C18F8"/>
    <w:rsid w:val="008F02D9"/>
    <w:rsid w:val="008F2E6E"/>
    <w:rsid w:val="009222F8"/>
    <w:rsid w:val="009232BF"/>
    <w:rsid w:val="009501F2"/>
    <w:rsid w:val="009606B4"/>
    <w:rsid w:val="00963442"/>
    <w:rsid w:val="00983F97"/>
    <w:rsid w:val="00984CC4"/>
    <w:rsid w:val="009A3B7E"/>
    <w:rsid w:val="009B36B0"/>
    <w:rsid w:val="009B690E"/>
    <w:rsid w:val="009C087B"/>
    <w:rsid w:val="009C4FA5"/>
    <w:rsid w:val="009D1C1E"/>
    <w:rsid w:val="009E5DC0"/>
    <w:rsid w:val="009F41DC"/>
    <w:rsid w:val="00A02EC5"/>
    <w:rsid w:val="00A070A3"/>
    <w:rsid w:val="00A22261"/>
    <w:rsid w:val="00A32DB0"/>
    <w:rsid w:val="00A33594"/>
    <w:rsid w:val="00A556E0"/>
    <w:rsid w:val="00A61747"/>
    <w:rsid w:val="00A96742"/>
    <w:rsid w:val="00AA0549"/>
    <w:rsid w:val="00AA6AAD"/>
    <w:rsid w:val="00AC40C7"/>
    <w:rsid w:val="00AE284C"/>
    <w:rsid w:val="00B07475"/>
    <w:rsid w:val="00B11B04"/>
    <w:rsid w:val="00B151DC"/>
    <w:rsid w:val="00B34703"/>
    <w:rsid w:val="00B4157B"/>
    <w:rsid w:val="00B44A22"/>
    <w:rsid w:val="00B6131E"/>
    <w:rsid w:val="00B7576B"/>
    <w:rsid w:val="00B93723"/>
    <w:rsid w:val="00BA4086"/>
    <w:rsid w:val="00C053DD"/>
    <w:rsid w:val="00C1543B"/>
    <w:rsid w:val="00C31C84"/>
    <w:rsid w:val="00C34937"/>
    <w:rsid w:val="00CC0B6F"/>
    <w:rsid w:val="00CD5AF6"/>
    <w:rsid w:val="00CE1E03"/>
    <w:rsid w:val="00D155DE"/>
    <w:rsid w:val="00D51201"/>
    <w:rsid w:val="00D57677"/>
    <w:rsid w:val="00D61153"/>
    <w:rsid w:val="00D85B70"/>
    <w:rsid w:val="00D97476"/>
    <w:rsid w:val="00DA42BA"/>
    <w:rsid w:val="00DD298C"/>
    <w:rsid w:val="00DF0669"/>
    <w:rsid w:val="00DF1D5B"/>
    <w:rsid w:val="00E111FD"/>
    <w:rsid w:val="00E21712"/>
    <w:rsid w:val="00E25C42"/>
    <w:rsid w:val="00E434B5"/>
    <w:rsid w:val="00E561BE"/>
    <w:rsid w:val="00E73E36"/>
    <w:rsid w:val="00EB7F5E"/>
    <w:rsid w:val="00EC2DDC"/>
    <w:rsid w:val="00EF3E50"/>
    <w:rsid w:val="00EF43B4"/>
    <w:rsid w:val="00EF4A77"/>
    <w:rsid w:val="00EF4DC5"/>
    <w:rsid w:val="00EF65AE"/>
    <w:rsid w:val="00EF79E4"/>
    <w:rsid w:val="00F01CF7"/>
    <w:rsid w:val="00F233D0"/>
    <w:rsid w:val="00F27ECF"/>
    <w:rsid w:val="00F31C48"/>
    <w:rsid w:val="00F3227B"/>
    <w:rsid w:val="00F41D2E"/>
    <w:rsid w:val="00F625B6"/>
    <w:rsid w:val="00F74F4C"/>
    <w:rsid w:val="00F818E4"/>
    <w:rsid w:val="00F8367C"/>
    <w:rsid w:val="00F94665"/>
    <w:rsid w:val="00FD5C55"/>
    <w:rsid w:val="00FE02DD"/>
    <w:rsid w:val="00FE0D43"/>
    <w:rsid w:val="00FF5716"/>
    <w:rsid w:val="01260E98"/>
    <w:rsid w:val="012B7068"/>
    <w:rsid w:val="015B316D"/>
    <w:rsid w:val="020F7B7E"/>
    <w:rsid w:val="026E0D49"/>
    <w:rsid w:val="02DE7C7D"/>
    <w:rsid w:val="0458580D"/>
    <w:rsid w:val="04AB5A59"/>
    <w:rsid w:val="05663F59"/>
    <w:rsid w:val="059E36F3"/>
    <w:rsid w:val="05AC22B4"/>
    <w:rsid w:val="06113EC5"/>
    <w:rsid w:val="06141C07"/>
    <w:rsid w:val="06183D51"/>
    <w:rsid w:val="088F279F"/>
    <w:rsid w:val="08E369E3"/>
    <w:rsid w:val="0937215E"/>
    <w:rsid w:val="09436A8B"/>
    <w:rsid w:val="09895AEA"/>
    <w:rsid w:val="0A1D2588"/>
    <w:rsid w:val="0B444D3D"/>
    <w:rsid w:val="0B5F0221"/>
    <w:rsid w:val="0B633415"/>
    <w:rsid w:val="0BF3DD64"/>
    <w:rsid w:val="0C5B2972"/>
    <w:rsid w:val="0CDB522D"/>
    <w:rsid w:val="0DD815EC"/>
    <w:rsid w:val="0E5A03D3"/>
    <w:rsid w:val="0ED2BCF4"/>
    <w:rsid w:val="0ED85EC8"/>
    <w:rsid w:val="0EEF84EE"/>
    <w:rsid w:val="0F6F02EE"/>
    <w:rsid w:val="0FDA17CC"/>
    <w:rsid w:val="0FE60171"/>
    <w:rsid w:val="0FF30BA2"/>
    <w:rsid w:val="0FF6E0FC"/>
    <w:rsid w:val="0FFA1E2F"/>
    <w:rsid w:val="106A12FD"/>
    <w:rsid w:val="115832F0"/>
    <w:rsid w:val="118440E5"/>
    <w:rsid w:val="122B18F8"/>
    <w:rsid w:val="13160D6D"/>
    <w:rsid w:val="1336140F"/>
    <w:rsid w:val="13FBC024"/>
    <w:rsid w:val="148544E2"/>
    <w:rsid w:val="14B07FBA"/>
    <w:rsid w:val="14EC8092"/>
    <w:rsid w:val="164B6F7F"/>
    <w:rsid w:val="16B25250"/>
    <w:rsid w:val="16D2144F"/>
    <w:rsid w:val="16F92E7F"/>
    <w:rsid w:val="17BC6067"/>
    <w:rsid w:val="17DE1B74"/>
    <w:rsid w:val="17EF281D"/>
    <w:rsid w:val="188744BB"/>
    <w:rsid w:val="197B7B7C"/>
    <w:rsid w:val="19A05834"/>
    <w:rsid w:val="1A750C1B"/>
    <w:rsid w:val="1A7956ED"/>
    <w:rsid w:val="1AFAA281"/>
    <w:rsid w:val="1B0B3181"/>
    <w:rsid w:val="1B79FEBE"/>
    <w:rsid w:val="1B7C7BDB"/>
    <w:rsid w:val="1B7FBD56"/>
    <w:rsid w:val="1BB630ED"/>
    <w:rsid w:val="1BE24896"/>
    <w:rsid w:val="1BF5E52B"/>
    <w:rsid w:val="1C2E35CB"/>
    <w:rsid w:val="1CB11B06"/>
    <w:rsid w:val="1DBF181D"/>
    <w:rsid w:val="1DFE950E"/>
    <w:rsid w:val="1E214A6A"/>
    <w:rsid w:val="1E7FACB8"/>
    <w:rsid w:val="1F1E73E7"/>
    <w:rsid w:val="1F586626"/>
    <w:rsid w:val="1FCE0D0E"/>
    <w:rsid w:val="1FDFC207"/>
    <w:rsid w:val="1FEF5AAC"/>
    <w:rsid w:val="1FF12BF6"/>
    <w:rsid w:val="1FF79072"/>
    <w:rsid w:val="1FF7F16D"/>
    <w:rsid w:val="203211B0"/>
    <w:rsid w:val="205630F0"/>
    <w:rsid w:val="205D622D"/>
    <w:rsid w:val="206A094A"/>
    <w:rsid w:val="206A26F8"/>
    <w:rsid w:val="215313DE"/>
    <w:rsid w:val="21AF0D0A"/>
    <w:rsid w:val="21DE339D"/>
    <w:rsid w:val="22B660C8"/>
    <w:rsid w:val="234611FA"/>
    <w:rsid w:val="2406098A"/>
    <w:rsid w:val="247E6772"/>
    <w:rsid w:val="24945F7F"/>
    <w:rsid w:val="24ED40A4"/>
    <w:rsid w:val="24EFBF02"/>
    <w:rsid w:val="264439EB"/>
    <w:rsid w:val="26DFC023"/>
    <w:rsid w:val="27AC8BD5"/>
    <w:rsid w:val="27C43035"/>
    <w:rsid w:val="27D040A4"/>
    <w:rsid w:val="27FFF1D7"/>
    <w:rsid w:val="28CA167A"/>
    <w:rsid w:val="28E55011"/>
    <w:rsid w:val="29545BB9"/>
    <w:rsid w:val="29A94291"/>
    <w:rsid w:val="2A2E7975"/>
    <w:rsid w:val="2AFD38D2"/>
    <w:rsid w:val="2B5E72FD"/>
    <w:rsid w:val="2B8A1EA0"/>
    <w:rsid w:val="2BD72B3C"/>
    <w:rsid w:val="2BF912D7"/>
    <w:rsid w:val="2C7FF4F3"/>
    <w:rsid w:val="2CC82C80"/>
    <w:rsid w:val="2DC93154"/>
    <w:rsid w:val="2E56854E"/>
    <w:rsid w:val="2E7F1A64"/>
    <w:rsid w:val="2EBFDB2F"/>
    <w:rsid w:val="2EFFB854"/>
    <w:rsid w:val="2F3F4EF6"/>
    <w:rsid w:val="2F3F5E94"/>
    <w:rsid w:val="2FBF0E93"/>
    <w:rsid w:val="2FDBF2AC"/>
    <w:rsid w:val="2FE4B056"/>
    <w:rsid w:val="2FF7BD31"/>
    <w:rsid w:val="2FF7D269"/>
    <w:rsid w:val="2FF975F4"/>
    <w:rsid w:val="2FFEE701"/>
    <w:rsid w:val="2FFF75B5"/>
    <w:rsid w:val="303B2CD8"/>
    <w:rsid w:val="303B7F80"/>
    <w:rsid w:val="30EC7BB1"/>
    <w:rsid w:val="3126266B"/>
    <w:rsid w:val="3175714F"/>
    <w:rsid w:val="317E956D"/>
    <w:rsid w:val="31D725F1"/>
    <w:rsid w:val="323808A8"/>
    <w:rsid w:val="326FED86"/>
    <w:rsid w:val="334F61FA"/>
    <w:rsid w:val="337D80EA"/>
    <w:rsid w:val="33B7E187"/>
    <w:rsid w:val="33C85C5B"/>
    <w:rsid w:val="33FEC0E7"/>
    <w:rsid w:val="343A7B3E"/>
    <w:rsid w:val="355C665B"/>
    <w:rsid w:val="3563D31B"/>
    <w:rsid w:val="356E45E1"/>
    <w:rsid w:val="35EBB08E"/>
    <w:rsid w:val="35FEC901"/>
    <w:rsid w:val="364A2958"/>
    <w:rsid w:val="36A77DAA"/>
    <w:rsid w:val="36CEA794"/>
    <w:rsid w:val="36DA1EA3"/>
    <w:rsid w:val="36EF53FC"/>
    <w:rsid w:val="372633C5"/>
    <w:rsid w:val="37352B8F"/>
    <w:rsid w:val="37517D16"/>
    <w:rsid w:val="375F5ECD"/>
    <w:rsid w:val="37740B99"/>
    <w:rsid w:val="378A7CA9"/>
    <w:rsid w:val="395B3923"/>
    <w:rsid w:val="398E1041"/>
    <w:rsid w:val="399605B3"/>
    <w:rsid w:val="39A01FB6"/>
    <w:rsid w:val="39ECE45A"/>
    <w:rsid w:val="3ADA46F7"/>
    <w:rsid w:val="3AFBCE88"/>
    <w:rsid w:val="3B190281"/>
    <w:rsid w:val="3B3BFF3B"/>
    <w:rsid w:val="3B4DDBCB"/>
    <w:rsid w:val="3B797FF1"/>
    <w:rsid w:val="3B8C756F"/>
    <w:rsid w:val="3BB35BE9"/>
    <w:rsid w:val="3BFFF80A"/>
    <w:rsid w:val="3C7D944D"/>
    <w:rsid w:val="3C7F8B8C"/>
    <w:rsid w:val="3CBECE36"/>
    <w:rsid w:val="3D7F6941"/>
    <w:rsid w:val="3DA60DBB"/>
    <w:rsid w:val="3DBF3B06"/>
    <w:rsid w:val="3DBF727B"/>
    <w:rsid w:val="3DD5404F"/>
    <w:rsid w:val="3DDF3DE3"/>
    <w:rsid w:val="3DDF9E9B"/>
    <w:rsid w:val="3DEDB97A"/>
    <w:rsid w:val="3DFB09DB"/>
    <w:rsid w:val="3DFF7199"/>
    <w:rsid w:val="3E3F6B8A"/>
    <w:rsid w:val="3EDF764A"/>
    <w:rsid w:val="3EFE4F82"/>
    <w:rsid w:val="3F1A9058"/>
    <w:rsid w:val="3F1BF6B4"/>
    <w:rsid w:val="3F1EC3DD"/>
    <w:rsid w:val="3F3643C1"/>
    <w:rsid w:val="3F5739B2"/>
    <w:rsid w:val="3F63986A"/>
    <w:rsid w:val="3F7B2B34"/>
    <w:rsid w:val="3F7F91B2"/>
    <w:rsid w:val="3F7F9337"/>
    <w:rsid w:val="3F7FEE32"/>
    <w:rsid w:val="3F95955B"/>
    <w:rsid w:val="3FB5CBFF"/>
    <w:rsid w:val="3FBF2407"/>
    <w:rsid w:val="3FBFF840"/>
    <w:rsid w:val="3FCD8147"/>
    <w:rsid w:val="3FCF2266"/>
    <w:rsid w:val="3FD7998E"/>
    <w:rsid w:val="3FED4F24"/>
    <w:rsid w:val="3FEF7335"/>
    <w:rsid w:val="3FF744E4"/>
    <w:rsid w:val="3FFD563E"/>
    <w:rsid w:val="414803DC"/>
    <w:rsid w:val="41BB99FA"/>
    <w:rsid w:val="41DB4290"/>
    <w:rsid w:val="41EC0D67"/>
    <w:rsid w:val="42156510"/>
    <w:rsid w:val="423D7815"/>
    <w:rsid w:val="42856A91"/>
    <w:rsid w:val="430335FC"/>
    <w:rsid w:val="43EF8FA7"/>
    <w:rsid w:val="44254A04"/>
    <w:rsid w:val="44B00772"/>
    <w:rsid w:val="453B44DF"/>
    <w:rsid w:val="456E0A56"/>
    <w:rsid w:val="45FD192C"/>
    <w:rsid w:val="467E5881"/>
    <w:rsid w:val="46D50B39"/>
    <w:rsid w:val="470D43A0"/>
    <w:rsid w:val="471D19C3"/>
    <w:rsid w:val="475FA97E"/>
    <w:rsid w:val="47FDBF2C"/>
    <w:rsid w:val="48254FD3"/>
    <w:rsid w:val="48BD16AF"/>
    <w:rsid w:val="48C42B5F"/>
    <w:rsid w:val="495F006C"/>
    <w:rsid w:val="49DF1E6D"/>
    <w:rsid w:val="4A064096"/>
    <w:rsid w:val="4AB8212E"/>
    <w:rsid w:val="4ADD87B3"/>
    <w:rsid w:val="4B474DCA"/>
    <w:rsid w:val="4B69167A"/>
    <w:rsid w:val="4B7C13AE"/>
    <w:rsid w:val="4BDF6723"/>
    <w:rsid w:val="4BF6F512"/>
    <w:rsid w:val="4BF74ED8"/>
    <w:rsid w:val="4C6D6F48"/>
    <w:rsid w:val="4C8E75EA"/>
    <w:rsid w:val="4CEEADF9"/>
    <w:rsid w:val="4D9549A9"/>
    <w:rsid w:val="4ECD3FC9"/>
    <w:rsid w:val="4F165675"/>
    <w:rsid w:val="4F3D0E54"/>
    <w:rsid w:val="4F5C35DA"/>
    <w:rsid w:val="4FB05ACA"/>
    <w:rsid w:val="4FCB6336"/>
    <w:rsid w:val="4FD01CC8"/>
    <w:rsid w:val="4FDE7828"/>
    <w:rsid w:val="503009B9"/>
    <w:rsid w:val="50772144"/>
    <w:rsid w:val="50EF2622"/>
    <w:rsid w:val="511655F6"/>
    <w:rsid w:val="513665EB"/>
    <w:rsid w:val="51AF0576"/>
    <w:rsid w:val="51D5BE3F"/>
    <w:rsid w:val="51EFB586"/>
    <w:rsid w:val="52194877"/>
    <w:rsid w:val="52E8557B"/>
    <w:rsid w:val="52ED493F"/>
    <w:rsid w:val="533267F6"/>
    <w:rsid w:val="53BF0788"/>
    <w:rsid w:val="53FD30AC"/>
    <w:rsid w:val="54AA010A"/>
    <w:rsid w:val="54CF8891"/>
    <w:rsid w:val="54D60E5E"/>
    <w:rsid w:val="55DF59A4"/>
    <w:rsid w:val="55DFC097"/>
    <w:rsid w:val="55FFD7B2"/>
    <w:rsid w:val="561548D9"/>
    <w:rsid w:val="561A14D4"/>
    <w:rsid w:val="56774B85"/>
    <w:rsid w:val="567B6497"/>
    <w:rsid w:val="56C7940B"/>
    <w:rsid w:val="56CF8BFF"/>
    <w:rsid w:val="56FD2F8B"/>
    <w:rsid w:val="577F76E4"/>
    <w:rsid w:val="57995705"/>
    <w:rsid w:val="57D712AC"/>
    <w:rsid w:val="57DF0F00"/>
    <w:rsid w:val="57DF5692"/>
    <w:rsid w:val="57FB2470"/>
    <w:rsid w:val="57FF5EC9"/>
    <w:rsid w:val="58A81A34"/>
    <w:rsid w:val="58B73A25"/>
    <w:rsid w:val="594A2AEB"/>
    <w:rsid w:val="597798A5"/>
    <w:rsid w:val="598C25EF"/>
    <w:rsid w:val="59975605"/>
    <w:rsid w:val="59AFFF4A"/>
    <w:rsid w:val="59BE7C85"/>
    <w:rsid w:val="59CB985A"/>
    <w:rsid w:val="59EF9973"/>
    <w:rsid w:val="5A1DF701"/>
    <w:rsid w:val="5ACB1A0A"/>
    <w:rsid w:val="5AFDE0F1"/>
    <w:rsid w:val="5BBA2857"/>
    <w:rsid w:val="5BDFFDA7"/>
    <w:rsid w:val="5BE21049"/>
    <w:rsid w:val="5BF81520"/>
    <w:rsid w:val="5BF93A63"/>
    <w:rsid w:val="5BFB9601"/>
    <w:rsid w:val="5BFDA674"/>
    <w:rsid w:val="5BFF9790"/>
    <w:rsid w:val="5C71038F"/>
    <w:rsid w:val="5C7A36E7"/>
    <w:rsid w:val="5C7F9609"/>
    <w:rsid w:val="5CBC0A9A"/>
    <w:rsid w:val="5CD34BA6"/>
    <w:rsid w:val="5CE93B61"/>
    <w:rsid w:val="5CEF84FE"/>
    <w:rsid w:val="5D3F37F1"/>
    <w:rsid w:val="5D77C7DE"/>
    <w:rsid w:val="5D7F4A58"/>
    <w:rsid w:val="5D9F031A"/>
    <w:rsid w:val="5DAB167E"/>
    <w:rsid w:val="5DAFF91A"/>
    <w:rsid w:val="5DB9023F"/>
    <w:rsid w:val="5DBEC357"/>
    <w:rsid w:val="5DBF3E48"/>
    <w:rsid w:val="5DBFF5D6"/>
    <w:rsid w:val="5DFD780B"/>
    <w:rsid w:val="5E2F83A4"/>
    <w:rsid w:val="5E9C7301"/>
    <w:rsid w:val="5EBF1361"/>
    <w:rsid w:val="5EF8F8C2"/>
    <w:rsid w:val="5EFF74E0"/>
    <w:rsid w:val="5F2D4A41"/>
    <w:rsid w:val="5F8F9EB8"/>
    <w:rsid w:val="5F9F1F19"/>
    <w:rsid w:val="5FBB8EA2"/>
    <w:rsid w:val="5FBFB236"/>
    <w:rsid w:val="5FBFF5FD"/>
    <w:rsid w:val="5FDF0FFC"/>
    <w:rsid w:val="5FE538C2"/>
    <w:rsid w:val="5FE722FC"/>
    <w:rsid w:val="5FEBC327"/>
    <w:rsid w:val="5FEF454E"/>
    <w:rsid w:val="5FF3A647"/>
    <w:rsid w:val="5FF7DAF5"/>
    <w:rsid w:val="5FF99CF6"/>
    <w:rsid w:val="5FFB28A3"/>
    <w:rsid w:val="5FFCBBD0"/>
    <w:rsid w:val="5FFD6F15"/>
    <w:rsid w:val="5FFE4F8B"/>
    <w:rsid w:val="5FFF1BD0"/>
    <w:rsid w:val="5FFFAB70"/>
    <w:rsid w:val="5FFFC11C"/>
    <w:rsid w:val="60942036"/>
    <w:rsid w:val="61734BA9"/>
    <w:rsid w:val="629A3F85"/>
    <w:rsid w:val="631877B6"/>
    <w:rsid w:val="633F05B3"/>
    <w:rsid w:val="634560D1"/>
    <w:rsid w:val="63BD66E1"/>
    <w:rsid w:val="63C811DC"/>
    <w:rsid w:val="63CF1669"/>
    <w:rsid w:val="63F56FA9"/>
    <w:rsid w:val="63FE77FE"/>
    <w:rsid w:val="648D7D30"/>
    <w:rsid w:val="65711400"/>
    <w:rsid w:val="657D41A7"/>
    <w:rsid w:val="659D4B0C"/>
    <w:rsid w:val="65D200F0"/>
    <w:rsid w:val="65DE77EA"/>
    <w:rsid w:val="65FF196B"/>
    <w:rsid w:val="66D3761A"/>
    <w:rsid w:val="66EF3D48"/>
    <w:rsid w:val="66F93E19"/>
    <w:rsid w:val="670B8A87"/>
    <w:rsid w:val="670E4777"/>
    <w:rsid w:val="674CC7AC"/>
    <w:rsid w:val="677CDF1A"/>
    <w:rsid w:val="67BE1287"/>
    <w:rsid w:val="67BFE035"/>
    <w:rsid w:val="67DF8642"/>
    <w:rsid w:val="67EB28A6"/>
    <w:rsid w:val="67F56DA9"/>
    <w:rsid w:val="67FA9C10"/>
    <w:rsid w:val="67FFFCD0"/>
    <w:rsid w:val="687A4A6F"/>
    <w:rsid w:val="692549DB"/>
    <w:rsid w:val="697B15CC"/>
    <w:rsid w:val="697D4817"/>
    <w:rsid w:val="69EED7A9"/>
    <w:rsid w:val="6A7EE3C8"/>
    <w:rsid w:val="6A836B45"/>
    <w:rsid w:val="6AD58766"/>
    <w:rsid w:val="6ADF88D8"/>
    <w:rsid w:val="6AFAC0BF"/>
    <w:rsid w:val="6AFF8EE7"/>
    <w:rsid w:val="6B57E38A"/>
    <w:rsid w:val="6BD727BD"/>
    <w:rsid w:val="6BE6B90C"/>
    <w:rsid w:val="6BF72FFE"/>
    <w:rsid w:val="6BFE826E"/>
    <w:rsid w:val="6BFF3EAD"/>
    <w:rsid w:val="6C5953DB"/>
    <w:rsid w:val="6CB7D39F"/>
    <w:rsid w:val="6CD33A7A"/>
    <w:rsid w:val="6D191DE0"/>
    <w:rsid w:val="6D3109E7"/>
    <w:rsid w:val="6D3BBA40"/>
    <w:rsid w:val="6D3E42BD"/>
    <w:rsid w:val="6D5F5ADE"/>
    <w:rsid w:val="6D7F219A"/>
    <w:rsid w:val="6DA35C03"/>
    <w:rsid w:val="6DBB94A7"/>
    <w:rsid w:val="6DD93FE6"/>
    <w:rsid w:val="6DDE82F0"/>
    <w:rsid w:val="6DFB66D6"/>
    <w:rsid w:val="6DFF3A4C"/>
    <w:rsid w:val="6DFFA38B"/>
    <w:rsid w:val="6E294407"/>
    <w:rsid w:val="6E510020"/>
    <w:rsid w:val="6E6D1A69"/>
    <w:rsid w:val="6E6D2202"/>
    <w:rsid w:val="6E9793D0"/>
    <w:rsid w:val="6EA840E4"/>
    <w:rsid w:val="6EC72E7B"/>
    <w:rsid w:val="6ECF00CD"/>
    <w:rsid w:val="6EDB08E1"/>
    <w:rsid w:val="6EDF8ABC"/>
    <w:rsid w:val="6EEF594C"/>
    <w:rsid w:val="6EF5F3F9"/>
    <w:rsid w:val="6EF6F1AF"/>
    <w:rsid w:val="6EF7D582"/>
    <w:rsid w:val="6EFB5477"/>
    <w:rsid w:val="6EFFB8FB"/>
    <w:rsid w:val="6F3BC70D"/>
    <w:rsid w:val="6F581E89"/>
    <w:rsid w:val="6F5C461B"/>
    <w:rsid w:val="6F610CCA"/>
    <w:rsid w:val="6F67171E"/>
    <w:rsid w:val="6F87C1EE"/>
    <w:rsid w:val="6F9F6CCC"/>
    <w:rsid w:val="6FAEA072"/>
    <w:rsid w:val="6FD51A69"/>
    <w:rsid w:val="6FD9A446"/>
    <w:rsid w:val="6FE7D3B1"/>
    <w:rsid w:val="6FF115AC"/>
    <w:rsid w:val="6FF6DE03"/>
    <w:rsid w:val="6FFD7905"/>
    <w:rsid w:val="6FFE4B6A"/>
    <w:rsid w:val="6FFE6D8C"/>
    <w:rsid w:val="6FFF44D6"/>
    <w:rsid w:val="6FFF7991"/>
    <w:rsid w:val="6FFFD337"/>
    <w:rsid w:val="6FFFE50A"/>
    <w:rsid w:val="6FFFF5C4"/>
    <w:rsid w:val="6FFFFA8E"/>
    <w:rsid w:val="708F9C9F"/>
    <w:rsid w:val="70B36D70"/>
    <w:rsid w:val="70C76EBA"/>
    <w:rsid w:val="715B6877"/>
    <w:rsid w:val="71670CF0"/>
    <w:rsid w:val="71C4237C"/>
    <w:rsid w:val="727BC6FE"/>
    <w:rsid w:val="72D27981"/>
    <w:rsid w:val="7358600C"/>
    <w:rsid w:val="73AD2E38"/>
    <w:rsid w:val="73D94A08"/>
    <w:rsid w:val="73EF8CE6"/>
    <w:rsid w:val="73FDBFDB"/>
    <w:rsid w:val="746D7236"/>
    <w:rsid w:val="74BDD436"/>
    <w:rsid w:val="750D2EF3"/>
    <w:rsid w:val="756FB0DD"/>
    <w:rsid w:val="75876589"/>
    <w:rsid w:val="75AFE53A"/>
    <w:rsid w:val="75DF1426"/>
    <w:rsid w:val="75E5B706"/>
    <w:rsid w:val="75FB03F3"/>
    <w:rsid w:val="75FE043E"/>
    <w:rsid w:val="76390D4B"/>
    <w:rsid w:val="764D4DA4"/>
    <w:rsid w:val="769B452E"/>
    <w:rsid w:val="76BBD472"/>
    <w:rsid w:val="76BFCA95"/>
    <w:rsid w:val="76BFDE9E"/>
    <w:rsid w:val="76F59E34"/>
    <w:rsid w:val="775911C9"/>
    <w:rsid w:val="7765EFEE"/>
    <w:rsid w:val="7766CA6D"/>
    <w:rsid w:val="776BD17D"/>
    <w:rsid w:val="77862AE9"/>
    <w:rsid w:val="77ABE89F"/>
    <w:rsid w:val="77BBA314"/>
    <w:rsid w:val="77BF9C2C"/>
    <w:rsid w:val="77BFDAC8"/>
    <w:rsid w:val="77CA02F8"/>
    <w:rsid w:val="77CFD9C3"/>
    <w:rsid w:val="77DA4611"/>
    <w:rsid w:val="77E3B1FB"/>
    <w:rsid w:val="77E609EC"/>
    <w:rsid w:val="77E72BF6"/>
    <w:rsid w:val="77EF0454"/>
    <w:rsid w:val="77EF21C5"/>
    <w:rsid w:val="77FA46F1"/>
    <w:rsid w:val="77FD4D4A"/>
    <w:rsid w:val="77FD51A5"/>
    <w:rsid w:val="786F17CF"/>
    <w:rsid w:val="787A5D75"/>
    <w:rsid w:val="78A14D22"/>
    <w:rsid w:val="78BB2C66"/>
    <w:rsid w:val="78DFC856"/>
    <w:rsid w:val="795BC084"/>
    <w:rsid w:val="799F4E38"/>
    <w:rsid w:val="79ED6FAD"/>
    <w:rsid w:val="7A796B66"/>
    <w:rsid w:val="7ABB4B16"/>
    <w:rsid w:val="7ABDCFF5"/>
    <w:rsid w:val="7ACE946D"/>
    <w:rsid w:val="7ADB5A55"/>
    <w:rsid w:val="7ADE29BD"/>
    <w:rsid w:val="7AE35901"/>
    <w:rsid w:val="7AFD6081"/>
    <w:rsid w:val="7AFE8EB1"/>
    <w:rsid w:val="7B26D502"/>
    <w:rsid w:val="7B4724D0"/>
    <w:rsid w:val="7B4E6722"/>
    <w:rsid w:val="7B713AB0"/>
    <w:rsid w:val="7B7F89DE"/>
    <w:rsid w:val="7B7FF30B"/>
    <w:rsid w:val="7BBB7BEB"/>
    <w:rsid w:val="7BBF7DE7"/>
    <w:rsid w:val="7BBFB729"/>
    <w:rsid w:val="7BC50790"/>
    <w:rsid w:val="7BD7D61F"/>
    <w:rsid w:val="7BDDD968"/>
    <w:rsid w:val="7BDE5F7D"/>
    <w:rsid w:val="7BDF6322"/>
    <w:rsid w:val="7BDFCD64"/>
    <w:rsid w:val="7BEFA33C"/>
    <w:rsid w:val="7BF51722"/>
    <w:rsid w:val="7BFB76AD"/>
    <w:rsid w:val="7BFD1BD4"/>
    <w:rsid w:val="7BFDF447"/>
    <w:rsid w:val="7BFF8B14"/>
    <w:rsid w:val="7C7F07FD"/>
    <w:rsid w:val="7C914409"/>
    <w:rsid w:val="7CE7759D"/>
    <w:rsid w:val="7CFA6FA3"/>
    <w:rsid w:val="7CFF874D"/>
    <w:rsid w:val="7D7E5075"/>
    <w:rsid w:val="7D7F602A"/>
    <w:rsid w:val="7DABFE60"/>
    <w:rsid w:val="7DAF6E5A"/>
    <w:rsid w:val="7DB7A5A1"/>
    <w:rsid w:val="7DD0F032"/>
    <w:rsid w:val="7DDE0E14"/>
    <w:rsid w:val="7DEACB0D"/>
    <w:rsid w:val="7DEFC026"/>
    <w:rsid w:val="7DF66B9F"/>
    <w:rsid w:val="7DF716EE"/>
    <w:rsid w:val="7DFDD52A"/>
    <w:rsid w:val="7DFE7330"/>
    <w:rsid w:val="7DFF27C7"/>
    <w:rsid w:val="7DFF9978"/>
    <w:rsid w:val="7DFFA6A2"/>
    <w:rsid w:val="7DFFB230"/>
    <w:rsid w:val="7DFFC3D8"/>
    <w:rsid w:val="7E4DCF58"/>
    <w:rsid w:val="7E57020C"/>
    <w:rsid w:val="7E6DF865"/>
    <w:rsid w:val="7E6F8375"/>
    <w:rsid w:val="7E99BFCC"/>
    <w:rsid w:val="7E9F3825"/>
    <w:rsid w:val="7EAB1D1F"/>
    <w:rsid w:val="7EAF9369"/>
    <w:rsid w:val="7EBC6CFF"/>
    <w:rsid w:val="7EDD12B6"/>
    <w:rsid w:val="7EDF95EA"/>
    <w:rsid w:val="7EE50D86"/>
    <w:rsid w:val="7EE68D31"/>
    <w:rsid w:val="7EE7A4A0"/>
    <w:rsid w:val="7EEAAF36"/>
    <w:rsid w:val="7EEB2B1A"/>
    <w:rsid w:val="7EEF3AAF"/>
    <w:rsid w:val="7EF461DB"/>
    <w:rsid w:val="7EF5E584"/>
    <w:rsid w:val="7EF9C5E3"/>
    <w:rsid w:val="7EFDCA2B"/>
    <w:rsid w:val="7EFF3837"/>
    <w:rsid w:val="7EFF99C3"/>
    <w:rsid w:val="7EFFEB01"/>
    <w:rsid w:val="7EFFFC8E"/>
    <w:rsid w:val="7F1D387A"/>
    <w:rsid w:val="7F2935F4"/>
    <w:rsid w:val="7F3A007E"/>
    <w:rsid w:val="7F3B26B3"/>
    <w:rsid w:val="7F3C8BE8"/>
    <w:rsid w:val="7F3E52B9"/>
    <w:rsid w:val="7F675699"/>
    <w:rsid w:val="7F6F2397"/>
    <w:rsid w:val="7F763708"/>
    <w:rsid w:val="7F7F8179"/>
    <w:rsid w:val="7FAD225E"/>
    <w:rsid w:val="7FBE80D6"/>
    <w:rsid w:val="7FBEB150"/>
    <w:rsid w:val="7FBF3F3C"/>
    <w:rsid w:val="7FCB3A7F"/>
    <w:rsid w:val="7FCE35E5"/>
    <w:rsid w:val="7FD4ED7C"/>
    <w:rsid w:val="7FD7161B"/>
    <w:rsid w:val="7FD72381"/>
    <w:rsid w:val="7FD73B94"/>
    <w:rsid w:val="7FD94228"/>
    <w:rsid w:val="7FDB70D1"/>
    <w:rsid w:val="7FDDFCE1"/>
    <w:rsid w:val="7FDF8031"/>
    <w:rsid w:val="7FDFBC4B"/>
    <w:rsid w:val="7FEB069B"/>
    <w:rsid w:val="7FEB6F2A"/>
    <w:rsid w:val="7FEB706E"/>
    <w:rsid w:val="7FEBAA86"/>
    <w:rsid w:val="7FEC564F"/>
    <w:rsid w:val="7FEDA331"/>
    <w:rsid w:val="7FEF282B"/>
    <w:rsid w:val="7FEF7D35"/>
    <w:rsid w:val="7FF7D93D"/>
    <w:rsid w:val="7FF939BF"/>
    <w:rsid w:val="7FF957B2"/>
    <w:rsid w:val="7FFB75C0"/>
    <w:rsid w:val="7FFC73D5"/>
    <w:rsid w:val="7FFDD4C2"/>
    <w:rsid w:val="7FFDF5CE"/>
    <w:rsid w:val="7FFDFD50"/>
    <w:rsid w:val="7FFEC4F9"/>
    <w:rsid w:val="7FFEE8AB"/>
    <w:rsid w:val="7FFF3587"/>
    <w:rsid w:val="7FFF5DC9"/>
    <w:rsid w:val="7FFF8BD4"/>
    <w:rsid w:val="7FFFCB4A"/>
    <w:rsid w:val="7FFFD904"/>
    <w:rsid w:val="837FF9C9"/>
    <w:rsid w:val="85EB8F44"/>
    <w:rsid w:val="875B1861"/>
    <w:rsid w:val="8BF70872"/>
    <w:rsid w:val="8CFDE7F7"/>
    <w:rsid w:val="8CFF53A8"/>
    <w:rsid w:val="90F613C9"/>
    <w:rsid w:val="97BEB2D3"/>
    <w:rsid w:val="97DDEC53"/>
    <w:rsid w:val="97EFE370"/>
    <w:rsid w:val="9B0C9552"/>
    <w:rsid w:val="9BB18B27"/>
    <w:rsid w:val="9BFFAFC3"/>
    <w:rsid w:val="9D7B2564"/>
    <w:rsid w:val="9DBFE5E7"/>
    <w:rsid w:val="9DEB2B91"/>
    <w:rsid w:val="9E7F9141"/>
    <w:rsid w:val="9EDBD0A8"/>
    <w:rsid w:val="9F3D62F8"/>
    <w:rsid w:val="9F7F415C"/>
    <w:rsid w:val="9F7FC5BC"/>
    <w:rsid w:val="9FBDB87F"/>
    <w:rsid w:val="9FD6E9EB"/>
    <w:rsid w:val="9FDF1BF8"/>
    <w:rsid w:val="9FDF9A33"/>
    <w:rsid w:val="9FFEA35C"/>
    <w:rsid w:val="9FFF705C"/>
    <w:rsid w:val="A3FB81C5"/>
    <w:rsid w:val="A7DF6859"/>
    <w:rsid w:val="A8E31CF4"/>
    <w:rsid w:val="AC4E0DC1"/>
    <w:rsid w:val="ADD6C633"/>
    <w:rsid w:val="ADFF5D74"/>
    <w:rsid w:val="ADFF7C77"/>
    <w:rsid w:val="AEAD2640"/>
    <w:rsid w:val="AEEF9932"/>
    <w:rsid w:val="AEF2B311"/>
    <w:rsid w:val="AEFFA72D"/>
    <w:rsid w:val="AF7F7657"/>
    <w:rsid w:val="AF8F0A15"/>
    <w:rsid w:val="AFBFADEE"/>
    <w:rsid w:val="AFCF3B7D"/>
    <w:rsid w:val="AFD75629"/>
    <w:rsid w:val="AFF72719"/>
    <w:rsid w:val="AFFDBA24"/>
    <w:rsid w:val="AFFFA7C5"/>
    <w:rsid w:val="B3BD4547"/>
    <w:rsid w:val="B3F22AB2"/>
    <w:rsid w:val="B3F5155A"/>
    <w:rsid w:val="B3FDA032"/>
    <w:rsid w:val="B5DF9A5C"/>
    <w:rsid w:val="B5EE9501"/>
    <w:rsid w:val="B5FA5236"/>
    <w:rsid w:val="B6CFECBF"/>
    <w:rsid w:val="B6FBC4B1"/>
    <w:rsid w:val="B79C0BF4"/>
    <w:rsid w:val="B7A92EE3"/>
    <w:rsid w:val="B7DAC577"/>
    <w:rsid w:val="B7EE5CD7"/>
    <w:rsid w:val="B7F6DF77"/>
    <w:rsid w:val="B7FBDAF0"/>
    <w:rsid w:val="B7FE7CBF"/>
    <w:rsid w:val="B7FE80BC"/>
    <w:rsid w:val="B7FF00AA"/>
    <w:rsid w:val="B8FEE313"/>
    <w:rsid w:val="B9FF589C"/>
    <w:rsid w:val="BA7F11D9"/>
    <w:rsid w:val="BABEA503"/>
    <w:rsid w:val="BACC56DA"/>
    <w:rsid w:val="BAEF1265"/>
    <w:rsid w:val="BAF7A19A"/>
    <w:rsid w:val="BB1BE319"/>
    <w:rsid w:val="BB7DF683"/>
    <w:rsid w:val="BBBFB45F"/>
    <w:rsid w:val="BBDED9CE"/>
    <w:rsid w:val="BBFC7C35"/>
    <w:rsid w:val="BBFE00C0"/>
    <w:rsid w:val="BCF7FAFB"/>
    <w:rsid w:val="BDB9B52C"/>
    <w:rsid w:val="BDFEDC35"/>
    <w:rsid w:val="BE9FF535"/>
    <w:rsid w:val="BEBD96E5"/>
    <w:rsid w:val="BEBF582D"/>
    <w:rsid w:val="BEBF606C"/>
    <w:rsid w:val="BEDF9366"/>
    <w:rsid w:val="BEEF3BB9"/>
    <w:rsid w:val="BEEF4249"/>
    <w:rsid w:val="BF547ADB"/>
    <w:rsid w:val="BF5A8650"/>
    <w:rsid w:val="BF5BD32A"/>
    <w:rsid w:val="BF5D59D0"/>
    <w:rsid w:val="BF7FDF47"/>
    <w:rsid w:val="BFA78B08"/>
    <w:rsid w:val="BFB90ADE"/>
    <w:rsid w:val="BFBA0830"/>
    <w:rsid w:val="BFCD6C3D"/>
    <w:rsid w:val="BFDBF3F1"/>
    <w:rsid w:val="BFDFE7E3"/>
    <w:rsid w:val="BFEFE76B"/>
    <w:rsid w:val="BFF537EF"/>
    <w:rsid w:val="BFF77244"/>
    <w:rsid w:val="BFF7C7B1"/>
    <w:rsid w:val="BFF86E9D"/>
    <w:rsid w:val="BFFBAFD4"/>
    <w:rsid w:val="BFFDE3F1"/>
    <w:rsid w:val="BFFE131B"/>
    <w:rsid w:val="BFFEACF9"/>
    <w:rsid w:val="BFFFE2BE"/>
    <w:rsid w:val="BFFFEDD7"/>
    <w:rsid w:val="C787F1D6"/>
    <w:rsid w:val="C7FF4713"/>
    <w:rsid w:val="C7FF7950"/>
    <w:rsid w:val="CB3BD860"/>
    <w:rsid w:val="CBFBB276"/>
    <w:rsid w:val="CC7F5C79"/>
    <w:rsid w:val="CCE5852E"/>
    <w:rsid w:val="CDAFACBC"/>
    <w:rsid w:val="CEFA0B5F"/>
    <w:rsid w:val="CF3FD651"/>
    <w:rsid w:val="CF79BDFF"/>
    <w:rsid w:val="CFAD7715"/>
    <w:rsid w:val="CFBFAA17"/>
    <w:rsid w:val="CFDF0749"/>
    <w:rsid w:val="CFE388CC"/>
    <w:rsid w:val="CFEFE5AF"/>
    <w:rsid w:val="CFF0256D"/>
    <w:rsid w:val="CFF93999"/>
    <w:rsid w:val="CFFD953C"/>
    <w:rsid w:val="CFFFA003"/>
    <w:rsid w:val="D2FFFECE"/>
    <w:rsid w:val="D4B2C783"/>
    <w:rsid w:val="D575CEF7"/>
    <w:rsid w:val="D5F2DA1F"/>
    <w:rsid w:val="D5FCDA3B"/>
    <w:rsid w:val="D6FDB76A"/>
    <w:rsid w:val="D71E841B"/>
    <w:rsid w:val="D7576C35"/>
    <w:rsid w:val="D77C6832"/>
    <w:rsid w:val="D7A8287E"/>
    <w:rsid w:val="D8FD7DA9"/>
    <w:rsid w:val="DA3FCAC4"/>
    <w:rsid w:val="DA723702"/>
    <w:rsid w:val="DAFE6A4F"/>
    <w:rsid w:val="DB5FCEAA"/>
    <w:rsid w:val="DB778739"/>
    <w:rsid w:val="DBBEE4F0"/>
    <w:rsid w:val="DBBF128E"/>
    <w:rsid w:val="DBCDA911"/>
    <w:rsid w:val="DBF6DFC7"/>
    <w:rsid w:val="DBFFB4BA"/>
    <w:rsid w:val="DCE34CA8"/>
    <w:rsid w:val="DCFA33B6"/>
    <w:rsid w:val="DCFF4B6A"/>
    <w:rsid w:val="DDB75A7D"/>
    <w:rsid w:val="DDD9952C"/>
    <w:rsid w:val="DDF7D4C1"/>
    <w:rsid w:val="DDFB293A"/>
    <w:rsid w:val="DDFBCA04"/>
    <w:rsid w:val="DDFCD581"/>
    <w:rsid w:val="DDFE6DAC"/>
    <w:rsid w:val="DE5E2836"/>
    <w:rsid w:val="DEBF342D"/>
    <w:rsid w:val="DEBF5B14"/>
    <w:rsid w:val="DEE5FC1C"/>
    <w:rsid w:val="DEEAB727"/>
    <w:rsid w:val="DEFE9798"/>
    <w:rsid w:val="DF152180"/>
    <w:rsid w:val="DF1FF584"/>
    <w:rsid w:val="DF370091"/>
    <w:rsid w:val="DF3E1362"/>
    <w:rsid w:val="DF5B2DF3"/>
    <w:rsid w:val="DF7944AD"/>
    <w:rsid w:val="DF7B8A4F"/>
    <w:rsid w:val="DF97847E"/>
    <w:rsid w:val="DFBB4131"/>
    <w:rsid w:val="DFBE9292"/>
    <w:rsid w:val="DFF5164A"/>
    <w:rsid w:val="DFF7167F"/>
    <w:rsid w:val="DFF7D679"/>
    <w:rsid w:val="DFFB1F8D"/>
    <w:rsid w:val="DFFE95D1"/>
    <w:rsid w:val="DFFFC08E"/>
    <w:rsid w:val="E33B3724"/>
    <w:rsid w:val="E399FDED"/>
    <w:rsid w:val="E3F70697"/>
    <w:rsid w:val="E5B630F0"/>
    <w:rsid w:val="E5C5D62D"/>
    <w:rsid w:val="E5FEF579"/>
    <w:rsid w:val="E63F2628"/>
    <w:rsid w:val="E65F5BF3"/>
    <w:rsid w:val="E69C0E60"/>
    <w:rsid w:val="E6DFEA5F"/>
    <w:rsid w:val="E6E9FC7D"/>
    <w:rsid w:val="E73DBCD4"/>
    <w:rsid w:val="E77DA9B5"/>
    <w:rsid w:val="E79511D1"/>
    <w:rsid w:val="E7D966F7"/>
    <w:rsid w:val="E7DF77AE"/>
    <w:rsid w:val="E7EE7E4C"/>
    <w:rsid w:val="E7FDAD56"/>
    <w:rsid w:val="E7FF0121"/>
    <w:rsid w:val="E7FF4C44"/>
    <w:rsid w:val="E7FF7EC9"/>
    <w:rsid w:val="E7FF8B3D"/>
    <w:rsid w:val="E7FFEC03"/>
    <w:rsid w:val="E95D2750"/>
    <w:rsid w:val="EA5FEBB1"/>
    <w:rsid w:val="EAB760E8"/>
    <w:rsid w:val="EACDCF44"/>
    <w:rsid w:val="EB4FC580"/>
    <w:rsid w:val="EB6BDE47"/>
    <w:rsid w:val="EB76B81D"/>
    <w:rsid w:val="EB7D8092"/>
    <w:rsid w:val="EB8F086E"/>
    <w:rsid w:val="EBBBDC5C"/>
    <w:rsid w:val="EBDE32CE"/>
    <w:rsid w:val="EBFC7600"/>
    <w:rsid w:val="ECBDAEB8"/>
    <w:rsid w:val="ECF71F9B"/>
    <w:rsid w:val="ECFF8B3F"/>
    <w:rsid w:val="ED3B083B"/>
    <w:rsid w:val="ED598AC0"/>
    <w:rsid w:val="ED6FD036"/>
    <w:rsid w:val="ED7F6502"/>
    <w:rsid w:val="EDAD39FB"/>
    <w:rsid w:val="EDED99FE"/>
    <w:rsid w:val="EDFF39C6"/>
    <w:rsid w:val="EE55E525"/>
    <w:rsid w:val="EE5B520E"/>
    <w:rsid w:val="EE77279C"/>
    <w:rsid w:val="EE7DDDAB"/>
    <w:rsid w:val="EEBFDA1E"/>
    <w:rsid w:val="EEEDD8FD"/>
    <w:rsid w:val="EF24E78D"/>
    <w:rsid w:val="EF5ECDA2"/>
    <w:rsid w:val="EF6907CD"/>
    <w:rsid w:val="EF7775EF"/>
    <w:rsid w:val="EF8FDE79"/>
    <w:rsid w:val="EF9F3FED"/>
    <w:rsid w:val="EF9F98D7"/>
    <w:rsid w:val="EFB74ADC"/>
    <w:rsid w:val="EFBFC037"/>
    <w:rsid w:val="EFC7780C"/>
    <w:rsid w:val="EFDBCB17"/>
    <w:rsid w:val="EFDF48DA"/>
    <w:rsid w:val="EFDF6810"/>
    <w:rsid w:val="EFDF8FD5"/>
    <w:rsid w:val="EFE730AD"/>
    <w:rsid w:val="EFEDE530"/>
    <w:rsid w:val="EFF36502"/>
    <w:rsid w:val="EFFB298D"/>
    <w:rsid w:val="EFFB94F2"/>
    <w:rsid w:val="EFFEA19E"/>
    <w:rsid w:val="EFFF0A1C"/>
    <w:rsid w:val="EFFFF9E2"/>
    <w:rsid w:val="F0F7B402"/>
    <w:rsid w:val="F17744B0"/>
    <w:rsid w:val="F1BFA435"/>
    <w:rsid w:val="F3259C1B"/>
    <w:rsid w:val="F377FC33"/>
    <w:rsid w:val="F3B8A5DB"/>
    <w:rsid w:val="F3BA7728"/>
    <w:rsid w:val="F3C79EF3"/>
    <w:rsid w:val="F3F8D139"/>
    <w:rsid w:val="F3FAC7A7"/>
    <w:rsid w:val="F4771127"/>
    <w:rsid w:val="F4DECD29"/>
    <w:rsid w:val="F5375FB4"/>
    <w:rsid w:val="F55F54C7"/>
    <w:rsid w:val="F5B7CCEC"/>
    <w:rsid w:val="F5DDDB2A"/>
    <w:rsid w:val="F5FA3CA4"/>
    <w:rsid w:val="F5FF2E96"/>
    <w:rsid w:val="F5FF4E9A"/>
    <w:rsid w:val="F6AF9BD7"/>
    <w:rsid w:val="F6EA18DF"/>
    <w:rsid w:val="F6EF11D8"/>
    <w:rsid w:val="F6FBF533"/>
    <w:rsid w:val="F6FC1478"/>
    <w:rsid w:val="F6FF4005"/>
    <w:rsid w:val="F737960C"/>
    <w:rsid w:val="F73F7370"/>
    <w:rsid w:val="F73FB012"/>
    <w:rsid w:val="F7676B75"/>
    <w:rsid w:val="F77E32C5"/>
    <w:rsid w:val="F77E8DE5"/>
    <w:rsid w:val="F7AB398E"/>
    <w:rsid w:val="F7B36E3E"/>
    <w:rsid w:val="F7B64385"/>
    <w:rsid w:val="F7B73755"/>
    <w:rsid w:val="F7B73C20"/>
    <w:rsid w:val="F7B823A5"/>
    <w:rsid w:val="F7BF0BE7"/>
    <w:rsid w:val="F7CBC7D7"/>
    <w:rsid w:val="F7CF1B5F"/>
    <w:rsid w:val="F7DF7F4B"/>
    <w:rsid w:val="F7E5F54C"/>
    <w:rsid w:val="F7E70E9B"/>
    <w:rsid w:val="F7EF7846"/>
    <w:rsid w:val="F7F03FAA"/>
    <w:rsid w:val="F7F5D35F"/>
    <w:rsid w:val="F7F7639D"/>
    <w:rsid w:val="F7F8C509"/>
    <w:rsid w:val="F7FB1B84"/>
    <w:rsid w:val="F7FE1A19"/>
    <w:rsid w:val="F7FF1877"/>
    <w:rsid w:val="F7FF2E94"/>
    <w:rsid w:val="F7FF733B"/>
    <w:rsid w:val="F89738D5"/>
    <w:rsid w:val="F8BFD0C6"/>
    <w:rsid w:val="F93B57D5"/>
    <w:rsid w:val="F996684B"/>
    <w:rsid w:val="F9A9BCD8"/>
    <w:rsid w:val="F9BF087D"/>
    <w:rsid w:val="F9CF5A09"/>
    <w:rsid w:val="F9EF52EC"/>
    <w:rsid w:val="F9F5D991"/>
    <w:rsid w:val="F9FE03BF"/>
    <w:rsid w:val="F9FF2FB4"/>
    <w:rsid w:val="FA67C376"/>
    <w:rsid w:val="FAB52CBA"/>
    <w:rsid w:val="FAD7FCA1"/>
    <w:rsid w:val="FADF4A1D"/>
    <w:rsid w:val="FAF654C1"/>
    <w:rsid w:val="FAF68416"/>
    <w:rsid w:val="FAFB2563"/>
    <w:rsid w:val="FAFBE0DC"/>
    <w:rsid w:val="FBBF5701"/>
    <w:rsid w:val="FBCFD3CA"/>
    <w:rsid w:val="FBD7163B"/>
    <w:rsid w:val="FBEEA05A"/>
    <w:rsid w:val="FBF7856E"/>
    <w:rsid w:val="FBF986A5"/>
    <w:rsid w:val="FBF9E2D6"/>
    <w:rsid w:val="FBFB709B"/>
    <w:rsid w:val="FBFF22EB"/>
    <w:rsid w:val="FC7975C0"/>
    <w:rsid w:val="FC7BF4FB"/>
    <w:rsid w:val="FC7E5CB8"/>
    <w:rsid w:val="FC96EE27"/>
    <w:rsid w:val="FCBF3277"/>
    <w:rsid w:val="FCF782CF"/>
    <w:rsid w:val="FCFABBA7"/>
    <w:rsid w:val="FD19A6A0"/>
    <w:rsid w:val="FD233175"/>
    <w:rsid w:val="FD3F6B78"/>
    <w:rsid w:val="FD5F0423"/>
    <w:rsid w:val="FD7F1A06"/>
    <w:rsid w:val="FD851E29"/>
    <w:rsid w:val="FD8B65AD"/>
    <w:rsid w:val="FD97A33F"/>
    <w:rsid w:val="FDAABD11"/>
    <w:rsid w:val="FDBFB61E"/>
    <w:rsid w:val="FDD64E7F"/>
    <w:rsid w:val="FDEFCE68"/>
    <w:rsid w:val="FDF7F85F"/>
    <w:rsid w:val="FDF96EB9"/>
    <w:rsid w:val="FDFB285D"/>
    <w:rsid w:val="FDFB7E8F"/>
    <w:rsid w:val="FDFE40C4"/>
    <w:rsid w:val="FDFF5E67"/>
    <w:rsid w:val="FDFF80E2"/>
    <w:rsid w:val="FDFF8C38"/>
    <w:rsid w:val="FE2FE7EE"/>
    <w:rsid w:val="FE3F7D7F"/>
    <w:rsid w:val="FE3FDA46"/>
    <w:rsid w:val="FE5FED90"/>
    <w:rsid w:val="FE6FCF27"/>
    <w:rsid w:val="FE7F117D"/>
    <w:rsid w:val="FE7F3767"/>
    <w:rsid w:val="FE9C4633"/>
    <w:rsid w:val="FEA72A11"/>
    <w:rsid w:val="FEA794FB"/>
    <w:rsid w:val="FEB49167"/>
    <w:rsid w:val="FEB79458"/>
    <w:rsid w:val="FECA7F68"/>
    <w:rsid w:val="FECDEF5D"/>
    <w:rsid w:val="FED740B1"/>
    <w:rsid w:val="FEDD11A5"/>
    <w:rsid w:val="FEE574BD"/>
    <w:rsid w:val="FEEE08F1"/>
    <w:rsid w:val="FEF2537D"/>
    <w:rsid w:val="FEFDCA41"/>
    <w:rsid w:val="FF2666D8"/>
    <w:rsid w:val="FF3F17D0"/>
    <w:rsid w:val="FF56241D"/>
    <w:rsid w:val="FF5E6B9D"/>
    <w:rsid w:val="FF6DD78E"/>
    <w:rsid w:val="FF6E4A5D"/>
    <w:rsid w:val="FF7A83A1"/>
    <w:rsid w:val="FF7AC37D"/>
    <w:rsid w:val="FF7BFE4E"/>
    <w:rsid w:val="FF7C48A7"/>
    <w:rsid w:val="FF7E5189"/>
    <w:rsid w:val="FF959CB1"/>
    <w:rsid w:val="FF9809D9"/>
    <w:rsid w:val="FF9B1173"/>
    <w:rsid w:val="FF9F137D"/>
    <w:rsid w:val="FF9FF7F7"/>
    <w:rsid w:val="FFAEAEAB"/>
    <w:rsid w:val="FFB70B07"/>
    <w:rsid w:val="FFB71B88"/>
    <w:rsid w:val="FFBDFA32"/>
    <w:rsid w:val="FFBF7678"/>
    <w:rsid w:val="FFBFE874"/>
    <w:rsid w:val="FFC5917C"/>
    <w:rsid w:val="FFCDDA68"/>
    <w:rsid w:val="FFCE6A1D"/>
    <w:rsid w:val="FFDC63F8"/>
    <w:rsid w:val="FFDFCB04"/>
    <w:rsid w:val="FFDFD704"/>
    <w:rsid w:val="FFE55E29"/>
    <w:rsid w:val="FFE70EA9"/>
    <w:rsid w:val="FFEAB814"/>
    <w:rsid w:val="FFEABDAC"/>
    <w:rsid w:val="FFEE4F97"/>
    <w:rsid w:val="FFEEFBC7"/>
    <w:rsid w:val="FFF45366"/>
    <w:rsid w:val="FFF51BA2"/>
    <w:rsid w:val="FFF528AA"/>
    <w:rsid w:val="FFF68A82"/>
    <w:rsid w:val="FFF7181C"/>
    <w:rsid w:val="FFF7A95C"/>
    <w:rsid w:val="FFF7FAE2"/>
    <w:rsid w:val="FFFAAD9F"/>
    <w:rsid w:val="FFFB2550"/>
    <w:rsid w:val="FFFBE444"/>
    <w:rsid w:val="FFFBFDED"/>
    <w:rsid w:val="FFFDEAE5"/>
    <w:rsid w:val="FFFE90D9"/>
    <w:rsid w:val="FFFEAC85"/>
    <w:rsid w:val="FFFEAFE7"/>
    <w:rsid w:val="FFFEB2C0"/>
    <w:rsid w:val="FFFF0D00"/>
    <w:rsid w:val="FFFF2CF2"/>
    <w:rsid w:val="FFFF61F2"/>
    <w:rsid w:val="FFFFF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qFormat/>
    <w:uiPriority w:val="0"/>
    <w:pPr>
      <w:keepNext/>
      <w:keepLines/>
      <w:numPr>
        <w:ilvl w:val="0"/>
        <w:numId w:val="1"/>
      </w:numPr>
      <w:spacing w:before="340" w:after="330" w:line="578" w:lineRule="auto"/>
      <w:jc w:val="center"/>
      <w:outlineLvl w:val="0"/>
    </w:pPr>
    <w:rPr>
      <w:rFonts w:ascii="Arial" w:hAnsi="Arial"/>
      <w:b/>
      <w:bCs/>
      <w:kern w:val="44"/>
      <w:sz w:val="44"/>
      <w:szCs w:val="44"/>
    </w:rPr>
  </w:style>
  <w:style w:type="paragraph" w:styleId="4">
    <w:name w:val="heading 2"/>
    <w:basedOn w:val="1"/>
    <w:next w:val="1"/>
    <w:link w:val="36"/>
    <w:unhideWhenUsed/>
    <w:qFormat/>
    <w:uiPriority w:val="0"/>
    <w:pPr>
      <w:keepNext/>
      <w:keepLines/>
      <w:numPr>
        <w:ilvl w:val="1"/>
        <w:numId w:val="1"/>
      </w:numPr>
      <w:spacing w:before="260" w:after="260" w:line="416" w:lineRule="auto"/>
      <w:outlineLvl w:val="1"/>
    </w:pPr>
    <w:rPr>
      <w:rFonts w:cstheme="majorBidi"/>
      <w:b/>
      <w:bCs/>
      <w:sz w:val="32"/>
      <w:szCs w:val="32"/>
    </w:rPr>
  </w:style>
  <w:style w:type="paragraph" w:styleId="5">
    <w:name w:val="heading 3"/>
    <w:basedOn w:val="1"/>
    <w:next w:val="1"/>
    <w:link w:val="37"/>
    <w:unhideWhenUsed/>
    <w:qFormat/>
    <w:uiPriority w:val="0"/>
    <w:pPr>
      <w:keepNext/>
      <w:keepLines/>
      <w:numPr>
        <w:ilvl w:val="2"/>
        <w:numId w:val="1"/>
      </w:numPr>
      <w:spacing w:before="260" w:after="260" w:line="416" w:lineRule="auto"/>
      <w:outlineLvl w:val="2"/>
    </w:pPr>
    <w:rPr>
      <w:b/>
      <w:bCs/>
      <w:sz w:val="30"/>
      <w:szCs w:val="30"/>
    </w:rPr>
  </w:style>
  <w:style w:type="paragraph" w:styleId="6">
    <w:name w:val="heading 4"/>
    <w:basedOn w:val="1"/>
    <w:next w:val="1"/>
    <w:link w:val="38"/>
    <w:unhideWhenUsed/>
    <w:qFormat/>
    <w:uiPriority w:val="9"/>
    <w:pPr>
      <w:keepNext/>
      <w:keepLines/>
      <w:numPr>
        <w:ilvl w:val="3"/>
        <w:numId w:val="1"/>
      </w:numPr>
      <w:spacing w:before="280" w:after="290" w:line="376" w:lineRule="auto"/>
      <w:outlineLvl w:val="3"/>
    </w:pPr>
    <w:rPr>
      <w:rFonts w:cstheme="majorBidi"/>
      <w:b/>
      <w:bCs/>
      <w:sz w:val="24"/>
      <w:szCs w:val="24"/>
    </w:rPr>
  </w:style>
  <w:style w:type="paragraph" w:styleId="7">
    <w:name w:val="heading 6"/>
    <w:basedOn w:val="1"/>
    <w:next w:val="1"/>
    <w:link w:val="55"/>
    <w:qFormat/>
    <w:uiPriority w:val="0"/>
    <w:pPr>
      <w:keepNext/>
      <w:keepLines/>
      <w:spacing w:before="240" w:after="64" w:line="320" w:lineRule="auto"/>
      <w:outlineLvl w:val="5"/>
    </w:pPr>
    <w:rPr>
      <w:rFonts w:ascii="Arial" w:hAnsi="Arial" w:eastAsia="黑体"/>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8">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9">
    <w:name w:val="Normal Indent"/>
    <w:basedOn w:val="1"/>
    <w:link w:val="58"/>
    <w:qFormat/>
    <w:uiPriority w:val="99"/>
    <w:pPr>
      <w:ind w:firstLine="420"/>
    </w:pPr>
    <w:rPr>
      <w:szCs w:val="20"/>
    </w:rPr>
  </w:style>
  <w:style w:type="paragraph" w:styleId="10">
    <w:name w:val="caption"/>
    <w:basedOn w:val="1"/>
    <w:next w:val="1"/>
    <w:link w:val="57"/>
    <w:qFormat/>
    <w:uiPriority w:val="35"/>
    <w:pPr>
      <w:spacing w:before="152" w:after="160"/>
    </w:pPr>
    <w:rPr>
      <w:rFonts w:ascii="Arial" w:hAnsi="Arial" w:eastAsia="黑体"/>
      <w:sz w:val="20"/>
      <w:szCs w:val="20"/>
    </w:rPr>
  </w:style>
  <w:style w:type="paragraph" w:styleId="11">
    <w:name w:val="Document Map"/>
    <w:basedOn w:val="1"/>
    <w:link w:val="39"/>
    <w:qFormat/>
    <w:uiPriority w:val="99"/>
  </w:style>
  <w:style w:type="paragraph" w:styleId="12">
    <w:name w:val="annotation text"/>
    <w:basedOn w:val="1"/>
    <w:link w:val="64"/>
    <w:unhideWhenUsed/>
    <w:qFormat/>
    <w:uiPriority w:val="99"/>
    <w:pPr>
      <w:jc w:val="left"/>
    </w:pPr>
  </w:style>
  <w:style w:type="paragraph" w:styleId="13">
    <w:name w:val="Body Text 3"/>
    <w:basedOn w:val="1"/>
    <w:link w:val="54"/>
    <w:unhideWhenUsed/>
    <w:qFormat/>
    <w:uiPriority w:val="99"/>
    <w:pPr>
      <w:spacing w:after="120"/>
    </w:pPr>
    <w:rPr>
      <w:sz w:val="16"/>
      <w:szCs w:val="16"/>
    </w:rPr>
  </w:style>
  <w:style w:type="paragraph" w:styleId="14">
    <w:name w:val="Body Text"/>
    <w:basedOn w:val="1"/>
    <w:qFormat/>
    <w:uiPriority w:val="0"/>
    <w:pPr>
      <w:tabs>
        <w:tab w:val="left" w:pos="1155"/>
      </w:tabs>
      <w:spacing w:line="420" w:lineRule="exact"/>
    </w:pPr>
    <w:rPr>
      <w:rFonts w:ascii="宋体"/>
      <w:sz w:val="24"/>
    </w:rPr>
  </w:style>
  <w:style w:type="paragraph" w:styleId="15">
    <w:name w:val="Body Text Indent"/>
    <w:basedOn w:val="1"/>
    <w:next w:val="1"/>
    <w:link w:val="40"/>
    <w:qFormat/>
    <w:uiPriority w:val="0"/>
    <w:pPr>
      <w:spacing w:line="480" w:lineRule="exact"/>
      <w:ind w:firstLine="480" w:firstLineChars="200"/>
    </w:pPr>
    <w:rPr>
      <w:rFonts w:ascii="宋体" w:hAnsi="宋体"/>
      <w:sz w:val="24"/>
    </w:rPr>
  </w:style>
  <w:style w:type="paragraph" w:styleId="16">
    <w:name w:val="Plain Text"/>
    <w:basedOn w:val="1"/>
    <w:link w:val="41"/>
    <w:qFormat/>
    <w:uiPriority w:val="0"/>
    <w:pPr>
      <w:spacing w:beforeLines="50" w:afterLines="50" w:line="400" w:lineRule="exact"/>
    </w:pPr>
    <w:rPr>
      <w:rFonts w:ascii="宋体" w:hAnsi="Courier New"/>
      <w:sz w:val="24"/>
      <w:szCs w:val="24"/>
    </w:rPr>
  </w:style>
  <w:style w:type="paragraph" w:styleId="17">
    <w:name w:val="Date"/>
    <w:basedOn w:val="1"/>
    <w:next w:val="1"/>
    <w:link w:val="56"/>
    <w:qFormat/>
    <w:uiPriority w:val="0"/>
    <w:pPr>
      <w:ind w:left="2500" w:leftChars="2500"/>
    </w:pPr>
    <w:rPr>
      <w:rFonts w:eastAsia="楷体_GB2312"/>
      <w:sz w:val="32"/>
      <w:szCs w:val="20"/>
    </w:rPr>
  </w:style>
  <w:style w:type="paragraph" w:styleId="18">
    <w:name w:val="Body Text Indent 2"/>
    <w:basedOn w:val="1"/>
    <w:qFormat/>
    <w:uiPriority w:val="0"/>
    <w:pPr>
      <w:snapToGrid w:val="0"/>
      <w:ind w:firstLine="542" w:firstLineChars="225"/>
    </w:pPr>
    <w:rPr>
      <w:rFonts w:ascii="仿宋_GB2312" w:hAnsi="宋体"/>
      <w:b/>
      <w:bCs/>
      <w:color w:val="000000"/>
      <w:sz w:val="24"/>
      <w:szCs w:val="24"/>
    </w:rPr>
  </w:style>
  <w:style w:type="paragraph" w:styleId="19">
    <w:name w:val="Balloon Text"/>
    <w:basedOn w:val="1"/>
    <w:link w:val="49"/>
    <w:qFormat/>
    <w:uiPriority w:val="0"/>
    <w:rPr>
      <w:rFonts w:ascii="宋体"/>
      <w:sz w:val="18"/>
      <w:szCs w:val="18"/>
    </w:rPr>
  </w:style>
  <w:style w:type="paragraph" w:styleId="20">
    <w:name w:val="footer"/>
    <w:basedOn w:val="1"/>
    <w:link w:val="42"/>
    <w:unhideWhenUsed/>
    <w:qFormat/>
    <w:uiPriority w:val="0"/>
    <w:pPr>
      <w:tabs>
        <w:tab w:val="center" w:pos="4153"/>
        <w:tab w:val="right" w:pos="8306"/>
      </w:tabs>
      <w:snapToGrid w:val="0"/>
      <w:jc w:val="left"/>
    </w:pPr>
    <w:rPr>
      <w:sz w:val="18"/>
      <w:szCs w:val="18"/>
    </w:rPr>
  </w:style>
  <w:style w:type="paragraph" w:styleId="21">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240" w:after="240"/>
    </w:pPr>
    <w:rPr>
      <w:rFonts w:ascii="Times New Roman" w:hAnsi="Times New Roman" w:eastAsia="仿宋"/>
      <w:sz w:val="36"/>
      <w:szCs w:val="24"/>
    </w:rPr>
  </w:style>
  <w:style w:type="paragraph" w:styleId="23">
    <w:name w:val="Body Text 2"/>
    <w:basedOn w:val="1"/>
    <w:link w:val="50"/>
    <w:unhideWhenUsed/>
    <w:qFormat/>
    <w:uiPriority w:val="99"/>
    <w:pPr>
      <w:spacing w:after="120" w:line="480" w:lineRule="auto"/>
    </w:pPr>
  </w:style>
  <w:style w:type="paragraph" w:styleId="2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6">
    <w:name w:val="annotation subject"/>
    <w:basedOn w:val="12"/>
    <w:next w:val="12"/>
    <w:link w:val="65"/>
    <w:unhideWhenUsed/>
    <w:qFormat/>
    <w:uiPriority w:val="99"/>
    <w:rPr>
      <w:b/>
      <w:bCs/>
    </w:rPr>
  </w:style>
  <w:style w:type="paragraph" w:styleId="27">
    <w:name w:val="Body Text First Indent 2"/>
    <w:basedOn w:val="15"/>
    <w:next w:val="1"/>
    <w:qFormat/>
    <w:uiPriority w:val="0"/>
    <w:pPr>
      <w:spacing w:after="120" w:line="240" w:lineRule="auto"/>
      <w:ind w:left="420" w:leftChars="200" w:firstLine="420"/>
    </w:pPr>
    <w:rPr>
      <w:rFonts w:ascii="Times New Roman" w:hAnsi="Times New Roman"/>
      <w:sz w:val="21"/>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basedOn w:val="30"/>
    <w:unhideWhenUsed/>
    <w:qFormat/>
    <w:uiPriority w:val="99"/>
  </w:style>
  <w:style w:type="character" w:styleId="33">
    <w:name w:val="Hyperlink"/>
    <w:qFormat/>
    <w:uiPriority w:val="99"/>
    <w:rPr>
      <w:color w:val="0000FF"/>
      <w:u w:val="single"/>
    </w:rPr>
  </w:style>
  <w:style w:type="character" w:styleId="34">
    <w:name w:val="annotation reference"/>
    <w:basedOn w:val="30"/>
    <w:unhideWhenUsed/>
    <w:qFormat/>
    <w:uiPriority w:val="99"/>
    <w:rPr>
      <w:sz w:val="21"/>
      <w:szCs w:val="21"/>
    </w:rPr>
  </w:style>
  <w:style w:type="character" w:customStyle="1" w:styleId="35">
    <w:name w:val="标题 1 字符"/>
    <w:basedOn w:val="30"/>
    <w:link w:val="3"/>
    <w:qFormat/>
    <w:uiPriority w:val="9"/>
    <w:rPr>
      <w:rFonts w:ascii="Arial" w:hAnsi="Arial" w:eastAsia="宋体" w:cs="Times New Roman"/>
      <w:b/>
      <w:bCs/>
      <w:kern w:val="44"/>
      <w:sz w:val="44"/>
      <w:szCs w:val="44"/>
    </w:rPr>
  </w:style>
  <w:style w:type="character" w:customStyle="1" w:styleId="36">
    <w:name w:val="标题 2 字符"/>
    <w:basedOn w:val="30"/>
    <w:link w:val="4"/>
    <w:qFormat/>
    <w:uiPriority w:val="0"/>
    <w:rPr>
      <w:rFonts w:ascii="Calibri" w:hAnsi="Calibri" w:eastAsia="宋体" w:cstheme="majorBidi"/>
      <w:b/>
      <w:bCs/>
      <w:sz w:val="32"/>
      <w:szCs w:val="32"/>
    </w:rPr>
  </w:style>
  <w:style w:type="character" w:customStyle="1" w:styleId="37">
    <w:name w:val="标题 3 字符"/>
    <w:basedOn w:val="30"/>
    <w:link w:val="5"/>
    <w:qFormat/>
    <w:uiPriority w:val="0"/>
    <w:rPr>
      <w:rFonts w:ascii="Calibri" w:hAnsi="Calibri" w:eastAsia="宋体" w:cs="Times New Roman"/>
      <w:b/>
      <w:bCs/>
      <w:sz w:val="30"/>
      <w:szCs w:val="30"/>
    </w:rPr>
  </w:style>
  <w:style w:type="character" w:customStyle="1" w:styleId="38">
    <w:name w:val="标题 4 字符"/>
    <w:basedOn w:val="30"/>
    <w:link w:val="6"/>
    <w:qFormat/>
    <w:uiPriority w:val="9"/>
    <w:rPr>
      <w:rFonts w:ascii="Calibri" w:hAnsi="Calibri" w:eastAsia="宋体" w:cstheme="majorBidi"/>
      <w:b/>
      <w:bCs/>
      <w:sz w:val="24"/>
    </w:rPr>
  </w:style>
  <w:style w:type="character" w:customStyle="1" w:styleId="39">
    <w:name w:val="文档结构图 字符"/>
    <w:basedOn w:val="30"/>
    <w:link w:val="11"/>
    <w:qFormat/>
    <w:uiPriority w:val="99"/>
    <w:rPr>
      <w:rFonts w:ascii="Calibri" w:hAnsi="Calibri" w:eastAsia="宋体" w:cs="Times New Roman"/>
      <w:szCs w:val="22"/>
    </w:rPr>
  </w:style>
  <w:style w:type="character" w:customStyle="1" w:styleId="40">
    <w:name w:val="正文文本缩进 字符"/>
    <w:basedOn w:val="30"/>
    <w:link w:val="15"/>
    <w:qFormat/>
    <w:uiPriority w:val="0"/>
    <w:rPr>
      <w:rFonts w:ascii="宋体" w:hAnsi="宋体" w:eastAsia="宋体" w:cs="Times New Roman"/>
      <w:sz w:val="24"/>
      <w:szCs w:val="22"/>
    </w:rPr>
  </w:style>
  <w:style w:type="character" w:customStyle="1" w:styleId="41">
    <w:name w:val="纯文本 字符"/>
    <w:basedOn w:val="30"/>
    <w:link w:val="16"/>
    <w:qFormat/>
    <w:uiPriority w:val="0"/>
    <w:rPr>
      <w:rFonts w:ascii="宋体" w:hAnsi="Courier New" w:eastAsia="宋体" w:cs="Times New Roman"/>
      <w:sz w:val="24"/>
    </w:rPr>
  </w:style>
  <w:style w:type="character" w:customStyle="1" w:styleId="42">
    <w:name w:val="页脚 字符"/>
    <w:basedOn w:val="30"/>
    <w:link w:val="20"/>
    <w:qFormat/>
    <w:uiPriority w:val="0"/>
    <w:rPr>
      <w:rFonts w:ascii="Calibri" w:hAnsi="Calibri" w:eastAsia="宋体" w:cs="Times New Roman"/>
      <w:sz w:val="18"/>
      <w:szCs w:val="18"/>
    </w:rPr>
  </w:style>
  <w:style w:type="paragraph" w:customStyle="1" w:styleId="43">
    <w:name w:val="正文1"/>
    <w:basedOn w:val="11"/>
    <w:next w:val="1"/>
    <w:qFormat/>
    <w:uiPriority w:val="0"/>
    <w:pPr>
      <w:shd w:val="clear" w:color="auto" w:fill="000080"/>
    </w:pPr>
    <w:rPr>
      <w:rFonts w:ascii="Tahoma" w:hAnsi="Tahoma" w:cs="Tahoma"/>
      <w:kern w:val="0"/>
      <w:szCs w:val="24"/>
    </w:rPr>
  </w:style>
  <w:style w:type="character" w:customStyle="1" w:styleId="44">
    <w:name w:val="TD正文 字符"/>
    <w:basedOn w:val="30"/>
    <w:link w:val="45"/>
    <w:qFormat/>
    <w:uiPriority w:val="0"/>
    <w:rPr>
      <w:rFonts w:ascii="Arial" w:hAnsi="Arial"/>
      <w:sz w:val="24"/>
      <w:szCs w:val="22"/>
    </w:rPr>
  </w:style>
  <w:style w:type="paragraph" w:customStyle="1" w:styleId="45">
    <w:name w:val="TD正文"/>
    <w:basedOn w:val="1"/>
    <w:link w:val="44"/>
    <w:qFormat/>
    <w:uiPriority w:val="0"/>
    <w:pPr>
      <w:spacing w:before="120" w:after="120" w:line="360" w:lineRule="auto"/>
      <w:ind w:firstLine="200" w:firstLineChars="200"/>
      <w:jc w:val="left"/>
    </w:pPr>
    <w:rPr>
      <w:rFonts w:ascii="Arial" w:hAnsi="Arial" w:eastAsiaTheme="minorEastAsia" w:cstheme="minorBidi"/>
      <w:sz w:val="24"/>
    </w:rPr>
  </w:style>
  <w:style w:type="paragraph" w:customStyle="1" w:styleId="46">
    <w:name w:val="TD表格正文"/>
    <w:qFormat/>
    <w:uiPriority w:val="0"/>
    <w:pPr>
      <w:widowControl w:val="0"/>
      <w:autoSpaceDE w:val="0"/>
      <w:autoSpaceDN w:val="0"/>
      <w:adjustRightInd w:val="0"/>
      <w:snapToGrid w:val="0"/>
    </w:pPr>
    <w:rPr>
      <w:rFonts w:ascii="宋体" w:hAnsi="宋体" w:eastAsia="宋体" w:cs="宋体"/>
      <w:color w:val="000000"/>
      <w:kern w:val="2"/>
      <w:sz w:val="21"/>
      <w:szCs w:val="18"/>
      <w:lang w:val="en-US" w:eastAsia="zh-CN" w:bidi="ar-SA"/>
    </w:rPr>
  </w:style>
  <w:style w:type="paragraph" w:customStyle="1" w:styleId="47">
    <w:name w:val="表格"/>
    <w:basedOn w:val="1"/>
    <w:qFormat/>
    <w:uiPriority w:val="0"/>
    <w:pPr>
      <w:adjustRightInd w:val="0"/>
      <w:spacing w:beforeLines="25" w:afterLines="25"/>
      <w:textAlignment w:val="baseline"/>
    </w:pPr>
    <w:rPr>
      <w:rFonts w:ascii="Arial" w:hAnsi="Arial" w:eastAsia="仿宋_GB2312"/>
      <w:kern w:val="0"/>
      <w:sz w:val="24"/>
    </w:rPr>
  </w:style>
  <w:style w:type="paragraph" w:customStyle="1" w:styleId="48">
    <w:name w:val="样式11"/>
    <w:basedOn w:val="43"/>
    <w:qFormat/>
    <w:uiPriority w:val="0"/>
    <w:pPr>
      <w:shd w:val="clear" w:color="auto" w:fill="auto"/>
      <w:ind w:firstLine="360" w:firstLineChars="200"/>
    </w:pPr>
  </w:style>
  <w:style w:type="character" w:customStyle="1" w:styleId="49">
    <w:name w:val="批注框文本 字符"/>
    <w:basedOn w:val="30"/>
    <w:link w:val="19"/>
    <w:qFormat/>
    <w:uiPriority w:val="0"/>
    <w:rPr>
      <w:rFonts w:ascii="宋体" w:hAnsi="Calibri" w:eastAsia="宋体" w:cs="Times New Roman"/>
      <w:sz w:val="18"/>
      <w:szCs w:val="18"/>
    </w:rPr>
  </w:style>
  <w:style w:type="character" w:customStyle="1" w:styleId="50">
    <w:name w:val="正文文本 2 字符"/>
    <w:basedOn w:val="30"/>
    <w:link w:val="23"/>
    <w:semiHidden/>
    <w:qFormat/>
    <w:uiPriority w:val="99"/>
    <w:rPr>
      <w:rFonts w:ascii="Calibri" w:hAnsi="Calibri" w:eastAsia="宋体" w:cs="Times New Roman"/>
      <w:szCs w:val="22"/>
    </w:rPr>
  </w:style>
  <w:style w:type="character" w:customStyle="1" w:styleId="51">
    <w:name w:val="列出段落 Char"/>
    <w:link w:val="52"/>
    <w:qFormat/>
    <w:uiPriority w:val="0"/>
    <w:rPr>
      <w:szCs w:val="22"/>
    </w:rPr>
  </w:style>
  <w:style w:type="paragraph" w:customStyle="1" w:styleId="52">
    <w:name w:val="列出段落1"/>
    <w:basedOn w:val="1"/>
    <w:link w:val="51"/>
    <w:qFormat/>
    <w:uiPriority w:val="0"/>
    <w:pPr>
      <w:ind w:firstLine="420" w:firstLineChars="200"/>
    </w:pPr>
    <w:rPr>
      <w:rFonts w:asciiTheme="minorHAnsi" w:hAnsiTheme="minorHAnsi" w:eastAsiaTheme="minorEastAsia" w:cstheme="minorBidi"/>
    </w:rPr>
  </w:style>
  <w:style w:type="paragraph" w:customStyle="1" w:styleId="53">
    <w:name w:val="正文段"/>
    <w:basedOn w:val="1"/>
    <w:qFormat/>
    <w:uiPriority w:val="0"/>
    <w:pPr>
      <w:widowControl/>
      <w:snapToGrid w:val="0"/>
      <w:spacing w:afterLines="50"/>
      <w:ind w:firstLine="200" w:firstLineChars="200"/>
    </w:pPr>
    <w:rPr>
      <w:rFonts w:ascii="Times New Roman" w:hAnsi="Times New Roman"/>
      <w:kern w:val="0"/>
      <w:sz w:val="24"/>
      <w:szCs w:val="20"/>
    </w:rPr>
  </w:style>
  <w:style w:type="character" w:customStyle="1" w:styleId="54">
    <w:name w:val="正文文本 3 字符"/>
    <w:basedOn w:val="30"/>
    <w:link w:val="13"/>
    <w:semiHidden/>
    <w:qFormat/>
    <w:uiPriority w:val="99"/>
    <w:rPr>
      <w:rFonts w:ascii="Calibri" w:hAnsi="Calibri" w:eastAsia="宋体" w:cs="Times New Roman"/>
      <w:sz w:val="16"/>
      <w:szCs w:val="16"/>
    </w:rPr>
  </w:style>
  <w:style w:type="character" w:customStyle="1" w:styleId="55">
    <w:name w:val="标题 6 字符"/>
    <w:basedOn w:val="30"/>
    <w:link w:val="7"/>
    <w:qFormat/>
    <w:uiPriority w:val="0"/>
    <w:rPr>
      <w:rFonts w:ascii="Arial" w:hAnsi="Arial" w:eastAsia="黑体" w:cs="Times New Roman"/>
      <w:b/>
      <w:bCs/>
      <w:sz w:val="24"/>
    </w:rPr>
  </w:style>
  <w:style w:type="character" w:customStyle="1" w:styleId="56">
    <w:name w:val="日期 字符"/>
    <w:basedOn w:val="30"/>
    <w:link w:val="17"/>
    <w:qFormat/>
    <w:uiPriority w:val="0"/>
    <w:rPr>
      <w:rFonts w:ascii="Calibri" w:hAnsi="Calibri" w:eastAsia="楷体_GB2312" w:cs="Times New Roman"/>
      <w:sz w:val="32"/>
      <w:szCs w:val="20"/>
    </w:rPr>
  </w:style>
  <w:style w:type="character" w:customStyle="1" w:styleId="57">
    <w:name w:val="题注 字符"/>
    <w:link w:val="10"/>
    <w:qFormat/>
    <w:uiPriority w:val="35"/>
    <w:rPr>
      <w:rFonts w:ascii="Arial" w:hAnsi="Arial" w:eastAsia="黑体" w:cs="Times New Roman"/>
      <w:sz w:val="20"/>
      <w:szCs w:val="20"/>
    </w:rPr>
  </w:style>
  <w:style w:type="character" w:customStyle="1" w:styleId="58">
    <w:name w:val="正文缩进 字符"/>
    <w:link w:val="9"/>
    <w:qFormat/>
    <w:uiPriority w:val="99"/>
    <w:rPr>
      <w:rFonts w:ascii="Calibri" w:hAnsi="Calibri" w:eastAsia="宋体" w:cs="Times New Roman"/>
      <w:szCs w:val="20"/>
    </w:rPr>
  </w:style>
  <w:style w:type="paragraph" w:customStyle="1" w:styleId="59">
    <w:name w:val="缺省文本"/>
    <w:basedOn w:val="1"/>
    <w:qFormat/>
    <w:uiPriority w:val="0"/>
    <w:pPr>
      <w:autoSpaceDE w:val="0"/>
      <w:autoSpaceDN w:val="0"/>
      <w:adjustRightInd w:val="0"/>
      <w:jc w:val="left"/>
    </w:pPr>
    <w:rPr>
      <w:rFonts w:ascii="Times New Roman" w:hAnsi="Times New Roman"/>
      <w:kern w:val="0"/>
      <w:sz w:val="24"/>
      <w:szCs w:val="20"/>
    </w:rPr>
  </w:style>
  <w:style w:type="character" w:customStyle="1" w:styleId="60">
    <w:name w:val="页眉 字符"/>
    <w:basedOn w:val="30"/>
    <w:link w:val="21"/>
    <w:qFormat/>
    <w:uiPriority w:val="99"/>
    <w:rPr>
      <w:rFonts w:ascii="Calibri" w:hAnsi="Calibri" w:eastAsia="宋体" w:cs="Times New Roman"/>
      <w:sz w:val="18"/>
      <w:szCs w:val="18"/>
    </w:rPr>
  </w:style>
  <w:style w:type="paragraph" w:customStyle="1" w:styleId="61">
    <w:name w:val="修订1"/>
    <w:hidden/>
    <w:semiHidden/>
    <w:qFormat/>
    <w:uiPriority w:val="99"/>
    <w:rPr>
      <w:rFonts w:ascii="Calibri" w:hAnsi="Calibri" w:eastAsia="宋体" w:cs="Times New Roman"/>
      <w:kern w:val="2"/>
      <w:sz w:val="21"/>
      <w:szCs w:val="22"/>
      <w:lang w:val="en-US" w:eastAsia="zh-CN" w:bidi="ar-SA"/>
    </w:rPr>
  </w:style>
  <w:style w:type="paragraph" w:customStyle="1" w:styleId="62">
    <w:name w:val="修订2"/>
    <w:hidden/>
    <w:semiHidden/>
    <w:qFormat/>
    <w:uiPriority w:val="99"/>
    <w:rPr>
      <w:rFonts w:ascii="Calibri" w:hAnsi="Calibri" w:eastAsia="宋体" w:cs="Times New Roman"/>
      <w:kern w:val="2"/>
      <w:sz w:val="21"/>
      <w:szCs w:val="22"/>
      <w:lang w:val="en-US" w:eastAsia="zh-CN" w:bidi="ar-SA"/>
    </w:rPr>
  </w:style>
  <w:style w:type="paragraph" w:customStyle="1" w:styleId="63">
    <w:name w:val="修订3"/>
    <w:hidden/>
    <w:semiHidden/>
    <w:qFormat/>
    <w:uiPriority w:val="99"/>
    <w:rPr>
      <w:rFonts w:ascii="Calibri" w:hAnsi="Calibri" w:eastAsia="宋体" w:cs="Times New Roman"/>
      <w:kern w:val="2"/>
      <w:sz w:val="21"/>
      <w:szCs w:val="22"/>
      <w:lang w:val="en-US" w:eastAsia="zh-CN" w:bidi="ar-SA"/>
    </w:rPr>
  </w:style>
  <w:style w:type="character" w:customStyle="1" w:styleId="64">
    <w:name w:val="批注文字 字符"/>
    <w:basedOn w:val="30"/>
    <w:link w:val="12"/>
    <w:qFormat/>
    <w:uiPriority w:val="99"/>
    <w:rPr>
      <w:rFonts w:ascii="Calibri" w:hAnsi="Calibri"/>
      <w:kern w:val="2"/>
      <w:sz w:val="21"/>
      <w:szCs w:val="22"/>
    </w:rPr>
  </w:style>
  <w:style w:type="character" w:customStyle="1" w:styleId="65">
    <w:name w:val="批注主题 字符"/>
    <w:basedOn w:val="64"/>
    <w:link w:val="26"/>
    <w:semiHidden/>
    <w:qFormat/>
    <w:uiPriority w:val="99"/>
    <w:rPr>
      <w:rFonts w:ascii="Calibri" w:hAnsi="Calibri"/>
      <w:b/>
      <w:bCs/>
      <w:kern w:val="2"/>
      <w:sz w:val="21"/>
      <w:szCs w:val="22"/>
    </w:rPr>
  </w:style>
  <w:style w:type="paragraph" w:customStyle="1" w:styleId="66">
    <w:name w:val="修订4"/>
    <w:hidden/>
    <w:semiHidden/>
    <w:qFormat/>
    <w:uiPriority w:val="99"/>
    <w:rPr>
      <w:rFonts w:ascii="Calibri" w:hAnsi="Calibri" w:eastAsia="宋体" w:cs="Times New Roman"/>
      <w:kern w:val="2"/>
      <w:sz w:val="21"/>
      <w:szCs w:val="22"/>
      <w:lang w:val="en-US" w:eastAsia="zh-CN" w:bidi="ar-SA"/>
    </w:rPr>
  </w:style>
  <w:style w:type="paragraph" w:customStyle="1" w:styleId="67">
    <w:name w:val="彩色列表 - 着色 11"/>
    <w:basedOn w:val="1"/>
    <w:qFormat/>
    <w:uiPriority w:val="34"/>
    <w:pPr>
      <w:widowControl/>
      <w:ind w:firstLine="420" w:firstLineChars="200"/>
      <w:jc w:val="left"/>
    </w:pPr>
    <w:rPr>
      <w:rFonts w:ascii="Times New Roman" w:hAnsi="Times New Roman"/>
      <w:sz w:val="24"/>
      <w:szCs w:val="24"/>
    </w:rPr>
  </w:style>
  <w:style w:type="paragraph" w:styleId="68">
    <w:name w:val="List Paragraph"/>
    <w:basedOn w:val="1"/>
    <w:unhideWhenUsed/>
    <w:qFormat/>
    <w:uiPriority w:val="99"/>
    <w:pPr>
      <w:ind w:left="720"/>
      <w:contextualSpacing/>
    </w:pPr>
  </w:style>
  <w:style w:type="paragraph" w:customStyle="1" w:styleId="69">
    <w:name w:val="Other|1"/>
    <w:basedOn w:val="1"/>
    <w:qFormat/>
    <w:uiPriority w:val="0"/>
    <w:pPr>
      <w:spacing w:line="442" w:lineRule="auto"/>
      <w:ind w:firstLine="400"/>
    </w:pPr>
    <w:rPr>
      <w:rFonts w:ascii="宋体" w:hAnsi="宋体" w:cs="宋体"/>
      <w:sz w:val="26"/>
      <w:szCs w:val="26"/>
      <w:lang w:val="zh-TW" w:eastAsia="zh-TW" w:bidi="zh-TW"/>
    </w:rPr>
  </w:style>
  <w:style w:type="paragraph" w:customStyle="1" w:styleId="7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1">
    <w:name w:val="_正文"/>
    <w:basedOn w:val="1"/>
    <w:qFormat/>
    <w:uiPriority w:val="0"/>
    <w:pPr>
      <w:spacing w:before="120" w:after="120" w:line="360" w:lineRule="auto"/>
      <w:ind w:firstLine="480" w:firstLineChars="200"/>
    </w:pPr>
    <w:rPr>
      <w:rFonts w:hAnsi="仿宋"/>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126</Words>
  <Characters>140</Characters>
  <Lines>262</Lines>
  <Paragraphs>73</Paragraphs>
  <TotalTime>51</TotalTime>
  <ScaleCrop>false</ScaleCrop>
  <LinksUpToDate>false</LinksUpToDate>
  <CharactersWithSpaces>158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2023-01-08T05:15:00Z</dcterms:created>
  <dc:creator>YB</dc:creator>
  <cp:lastModifiedBy>sport</cp:lastModifiedBy>
  <cp:lastPrinted>2024-07-05T21:11:00Z</cp:lastPrinted>
  <dcterms:modified xsi:type="dcterms:W3CDTF">2025-04-29T18:40:46Z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44747174C1CA4E21A9E91CF97EB6701A_13</vt:lpwstr>
  </property>
  <property fmtid="{D5CDD505-2E9C-101B-9397-08002B2CF9AE}" pid="4" name="KSOTemplateDocerSaveRecord">
    <vt:lpwstr>eyJoZGlkIjoiOTYyYjg3MDFiY2JhNGRlZDgwMDA5M2Y4ZDkzNDFlNTYifQ==</vt:lpwstr>
  </property>
</Properties>
</file>