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A53E7A" w:rsidP="00A53E7A">
      <w:pPr>
        <w:spacing w:line="240" w:lineRule="auto"/>
        <w:rPr>
          <w:rFonts w:cstheme="minorHAnsi"/>
        </w:rPr>
      </w:pPr>
      <w:r>
        <w:rPr>
          <w:rFonts w:cstheme="minorHAnsi"/>
        </w:rPr>
        <w:t xml:space="preserve">The Department of Veterans Affairs (VA), Network Contracting Office 20 (NCO 20), is conducting market research on behalf of the Portland VA Medical Center to identify potential contractors capable of providing medical-grade liquid bulk oxygen, rental tanks and ancillary services to VA medical facilities and clinics.    </w:t>
      </w:r>
    </w:p>
    <w:p w:rsidR="00A53E7A" w:rsidP="00A53E7A">
      <w:pPr>
        <w:spacing w:after="0" w:line="240" w:lineRule="auto"/>
        <w:rPr>
          <w:rFonts w:cstheme="minorHAnsi"/>
        </w:rPr>
      </w:pPr>
      <w:r w:rsidRPr="003A2736">
        <w:rPr>
          <w:rFonts w:cstheme="minorHAnsi"/>
        </w:rPr>
        <w:t xml:space="preserve">The </w:t>
      </w:r>
      <w:r>
        <w:rPr>
          <w:rFonts w:cstheme="minorHAnsi"/>
        </w:rPr>
        <w:t>Portland VA Medical Center</w:t>
      </w:r>
      <w:r w:rsidRPr="003A2736">
        <w:rPr>
          <w:rFonts w:cstheme="minorHAnsi"/>
        </w:rPr>
        <w:t xml:space="preserve"> is comprised of</w:t>
      </w:r>
      <w:r>
        <w:rPr>
          <w:rFonts w:cstheme="minorHAnsi"/>
        </w:rPr>
        <w:t xml:space="preserve">: </w:t>
      </w:r>
    </w:p>
    <w:p w:rsidR="00A53E7A" w:rsidP="00A53E7A">
      <w:pPr>
        <w:spacing w:after="0" w:line="240" w:lineRule="auto"/>
        <w:rPr>
          <w:rFonts w:cstheme="minorHAnsi"/>
        </w:rPr>
      </w:pPr>
    </w:p>
    <w:p w:rsidR="00A53E7A" w:rsidRPr="00621F6C" w:rsidP="00A53E7A">
      <w:pPr>
        <w:spacing w:after="0" w:line="240" w:lineRule="auto"/>
        <w:rPr>
          <w:rFonts w:cstheme="minorHAnsi"/>
          <w:lang w:val="es-MX"/>
        </w:rPr>
      </w:pPr>
      <w:r w:rsidRPr="00621F6C">
        <w:rPr>
          <w:rFonts w:cstheme="minorHAnsi"/>
          <w:lang w:val="es-MX"/>
        </w:rPr>
        <w:t>Po</w:t>
      </w:r>
      <w:r>
        <w:rPr>
          <w:rFonts w:cstheme="minorHAnsi"/>
          <w:lang w:val="es-MX"/>
        </w:rPr>
        <w:t>rtland VA Medical Center.</w:t>
      </w:r>
    </w:p>
    <w:p w:rsidR="00A53E7A" w:rsidRPr="00621F6C" w:rsidP="00A53E7A">
      <w:pPr>
        <w:spacing w:after="0" w:line="240" w:lineRule="auto"/>
        <w:rPr>
          <w:rFonts w:cstheme="minorHAnsi"/>
          <w:lang w:val="es-MX"/>
        </w:rPr>
      </w:pPr>
      <w:r w:rsidRPr="00621F6C">
        <w:rPr>
          <w:rFonts w:cstheme="minorHAnsi"/>
          <w:lang w:val="es-MX"/>
        </w:rPr>
        <w:t>Vancouver VA Medical Center.</w:t>
      </w:r>
    </w:p>
    <w:p w:rsidR="00A53E7A" w:rsidRPr="00B62CF7" w:rsidP="00A53E7A">
      <w:pPr>
        <w:spacing w:after="0" w:line="240" w:lineRule="auto"/>
        <w:rPr>
          <w:rFonts w:cstheme="minorHAnsi"/>
          <w:lang w:val="es-MX"/>
        </w:rPr>
      </w:pPr>
      <w:r w:rsidRPr="00B62CF7">
        <w:rPr>
          <w:rFonts w:cstheme="minorHAnsi"/>
          <w:lang w:val="es-MX"/>
        </w:rPr>
        <w:t xml:space="preserve">Astoria VA </w:t>
      </w:r>
      <w:r w:rsidRPr="00B62CF7">
        <w:rPr>
          <w:rFonts w:cstheme="minorHAnsi"/>
          <w:lang w:val="es-MX"/>
        </w:rPr>
        <w:t>Clinic</w:t>
      </w:r>
      <w:r w:rsidRPr="00B62CF7">
        <w:rPr>
          <w:rFonts w:cstheme="minorHAnsi"/>
          <w:lang w:val="es-MX"/>
        </w:rPr>
        <w:t>.</w:t>
      </w:r>
    </w:p>
    <w:p w:rsidR="00A53E7A" w:rsidRPr="00B62CF7" w:rsidP="00A53E7A">
      <w:pPr>
        <w:spacing w:after="0" w:line="240" w:lineRule="auto"/>
        <w:rPr>
          <w:rFonts w:cstheme="minorHAnsi"/>
          <w:lang w:val="es-MX"/>
        </w:rPr>
      </w:pPr>
      <w:r w:rsidRPr="00B62CF7">
        <w:rPr>
          <w:rFonts w:cstheme="minorHAnsi"/>
          <w:lang w:val="es-MX"/>
        </w:rPr>
        <w:t>Fairview</w:t>
      </w:r>
      <w:r w:rsidRPr="00B62CF7">
        <w:rPr>
          <w:rFonts w:cstheme="minorHAnsi"/>
          <w:lang w:val="es-MX"/>
        </w:rPr>
        <w:t xml:space="preserve"> VA </w:t>
      </w:r>
      <w:r w:rsidRPr="00B62CF7">
        <w:rPr>
          <w:rFonts w:cstheme="minorHAnsi"/>
          <w:lang w:val="es-MX"/>
        </w:rPr>
        <w:t>Clinic</w:t>
      </w:r>
      <w:r w:rsidRPr="00B62CF7">
        <w:rPr>
          <w:rFonts w:cstheme="minorHAnsi"/>
          <w:lang w:val="es-MX"/>
        </w:rPr>
        <w:t>.</w:t>
      </w:r>
    </w:p>
    <w:p w:rsidR="00A53E7A" w:rsidRPr="009C1EF4" w:rsidP="00A53E7A">
      <w:pPr>
        <w:spacing w:after="0" w:line="240" w:lineRule="auto"/>
        <w:rPr>
          <w:rFonts w:cstheme="minorHAnsi"/>
          <w:lang w:val="es-MX"/>
        </w:rPr>
      </w:pPr>
      <w:r w:rsidRPr="009C1EF4">
        <w:rPr>
          <w:rFonts w:cstheme="minorHAnsi"/>
          <w:lang w:val="es-MX"/>
        </w:rPr>
        <w:t xml:space="preserve">Hillsboro VA </w:t>
      </w:r>
      <w:r w:rsidRPr="009C1EF4">
        <w:rPr>
          <w:rFonts w:cstheme="minorHAnsi"/>
          <w:lang w:val="es-MX"/>
        </w:rPr>
        <w:t>Clinic</w:t>
      </w:r>
      <w:r w:rsidRPr="009C1EF4">
        <w:rPr>
          <w:rFonts w:cstheme="minorHAnsi"/>
          <w:lang w:val="es-MX"/>
        </w:rPr>
        <w:t>.</w:t>
      </w:r>
    </w:p>
    <w:p w:rsidR="00A53E7A" w:rsidRPr="009C1EF4" w:rsidP="00A53E7A">
      <w:pPr>
        <w:spacing w:after="0" w:line="240" w:lineRule="auto"/>
        <w:rPr>
          <w:rFonts w:cstheme="minorHAnsi"/>
          <w:lang w:val="es-MX"/>
        </w:rPr>
      </w:pPr>
      <w:r w:rsidRPr="009C1EF4">
        <w:rPr>
          <w:rFonts w:cstheme="minorHAnsi"/>
          <w:lang w:val="es-MX"/>
        </w:rPr>
        <w:t>Loren R.</w:t>
      </w:r>
      <w:r>
        <w:rPr>
          <w:rFonts w:cstheme="minorHAnsi"/>
          <w:lang w:val="es-MX"/>
        </w:rPr>
        <w:t xml:space="preserve"> Kaufman</w:t>
      </w:r>
      <w:r w:rsidRPr="009C1EF4">
        <w:rPr>
          <w:rFonts w:cstheme="minorHAnsi"/>
          <w:lang w:val="es-MX"/>
        </w:rPr>
        <w:t xml:space="preserve"> VA </w:t>
      </w:r>
      <w:r w:rsidRPr="009C1EF4">
        <w:rPr>
          <w:rFonts w:cstheme="minorHAnsi"/>
          <w:lang w:val="es-MX"/>
        </w:rPr>
        <w:t>Clinic</w:t>
      </w:r>
      <w:r w:rsidRPr="009C1EF4">
        <w:rPr>
          <w:rFonts w:cstheme="minorHAnsi"/>
          <w:lang w:val="es-MX"/>
        </w:rPr>
        <w:t>.</w:t>
      </w:r>
    </w:p>
    <w:p w:rsidR="00A53E7A" w:rsidP="00A53E7A">
      <w:pPr>
        <w:spacing w:after="0" w:line="240" w:lineRule="auto"/>
        <w:rPr>
          <w:rFonts w:cstheme="minorHAnsi"/>
        </w:rPr>
      </w:pPr>
      <w:r>
        <w:rPr>
          <w:rFonts w:cstheme="minorHAnsi"/>
        </w:rPr>
        <w:t>Newport VA Clinic.</w:t>
      </w:r>
    </w:p>
    <w:p w:rsidR="00A53E7A" w:rsidP="00A53E7A">
      <w:pPr>
        <w:spacing w:after="0" w:line="240" w:lineRule="auto"/>
        <w:rPr>
          <w:rFonts w:cstheme="minorHAnsi"/>
        </w:rPr>
      </w:pPr>
      <w:r>
        <w:rPr>
          <w:rFonts w:cstheme="minorHAnsi"/>
        </w:rPr>
        <w:t>Portland VA Clinic.</w:t>
      </w:r>
    </w:p>
    <w:p w:rsidR="00A53E7A" w:rsidP="00A53E7A">
      <w:pPr>
        <w:spacing w:after="0" w:line="240" w:lineRule="auto"/>
        <w:rPr>
          <w:rFonts w:cstheme="minorHAnsi"/>
        </w:rPr>
      </w:pPr>
      <w:r>
        <w:rPr>
          <w:rFonts w:cstheme="minorHAnsi"/>
        </w:rPr>
        <w:t>Robert D. Maxwell Department of Veterans Affairs Clinic.</w:t>
      </w:r>
    </w:p>
    <w:p w:rsidR="00A53E7A" w:rsidP="00A53E7A">
      <w:pPr>
        <w:spacing w:after="0" w:line="240" w:lineRule="auto"/>
        <w:rPr>
          <w:rFonts w:cstheme="minorHAnsi"/>
        </w:rPr>
      </w:pPr>
      <w:r>
        <w:rPr>
          <w:rFonts w:cstheme="minorHAnsi"/>
        </w:rPr>
        <w:t>Salem VA Clinic.</w:t>
      </w:r>
    </w:p>
    <w:p w:rsidR="00A53E7A" w:rsidRPr="00CB309E" w:rsidP="00A53E7A">
      <w:pPr>
        <w:spacing w:after="0" w:line="240" w:lineRule="auto"/>
        <w:rPr>
          <w:rFonts w:cstheme="minorHAnsi"/>
        </w:rPr>
      </w:pPr>
      <w:r>
        <w:rPr>
          <w:rFonts w:cstheme="minorHAnsi"/>
        </w:rPr>
        <w:t>West Linn VA Clinic.</w:t>
      </w:r>
    </w:p>
    <w:p w:rsidR="00A53E7A" w:rsidP="00A53E7A">
      <w:pPr>
        <w:spacing w:after="0" w:line="240" w:lineRule="auto"/>
        <w:rPr>
          <w:rStyle w:val="Hyperlink"/>
        </w:rPr>
      </w:pPr>
    </w:p>
    <w:p w:rsidR="00A53E7A" w:rsidP="00A53E7A">
      <w:pPr>
        <w:spacing w:line="240" w:lineRule="auto"/>
      </w:pPr>
      <w:r>
        <w:t>To be considered a responsive and potential source, interested parties shall provide a capabilities statement containing the following information:</w:t>
      </w:r>
    </w:p>
    <w:p w:rsidR="00A53E7A" w:rsidP="00A53E7A">
      <w:pPr>
        <w:pStyle w:val="ListParagraph"/>
        <w:numPr>
          <w:ilvl w:val="0"/>
          <w:numId w:val="1"/>
        </w:numPr>
        <w:spacing w:after="160" w:line="240" w:lineRule="auto"/>
      </w:pPr>
      <w:r>
        <w:t>Business name, address, point of contact, phone number and email address.</w:t>
      </w:r>
    </w:p>
    <w:p w:rsidR="00A53E7A" w:rsidP="00A53E7A">
      <w:pPr>
        <w:pStyle w:val="ListParagraph"/>
        <w:numPr>
          <w:ilvl w:val="0"/>
          <w:numId w:val="1"/>
        </w:numPr>
        <w:spacing w:after="160" w:line="240" w:lineRule="auto"/>
      </w:pPr>
      <w:r>
        <w:t>Business size, type, and SAM Unique Identifier Number</w:t>
      </w:r>
    </w:p>
    <w:p w:rsidR="00A53E7A" w:rsidP="00A53E7A">
      <w:pPr>
        <w:pStyle w:val="ListParagraph"/>
        <w:numPr>
          <w:ilvl w:val="0"/>
          <w:numId w:val="1"/>
        </w:numPr>
        <w:spacing w:after="160" w:line="240" w:lineRule="auto"/>
      </w:pPr>
      <w:r>
        <w:t>Affirmation that the vendor is capable of performing in accordance with the attached Statement of Work.</w:t>
      </w:r>
    </w:p>
    <w:p w:rsidR="00A53E7A" w:rsidP="00A53E7A">
      <w:pPr>
        <w:pStyle w:val="ListParagraph"/>
        <w:numPr>
          <w:ilvl w:val="0"/>
          <w:numId w:val="1"/>
        </w:numPr>
        <w:spacing w:after="160" w:line="240" w:lineRule="auto"/>
      </w:pPr>
      <w:r>
        <w:t>Identify if you are a manufacturer or distributor of Immunochemistry Instrumentation.</w:t>
      </w:r>
    </w:p>
    <w:p w:rsidR="00A53E7A" w:rsidP="00A53E7A">
      <w:pPr>
        <w:pStyle w:val="ListParagraph"/>
        <w:numPr>
          <w:ilvl w:val="1"/>
          <w:numId w:val="1"/>
        </w:numPr>
        <w:spacing w:after="160" w:line="240" w:lineRule="auto"/>
      </w:pPr>
      <w:r>
        <w:t>If a distributor, the vendor shall provide which manufacturer(s) they intend to use within each geographical area.</w:t>
      </w:r>
    </w:p>
    <w:p w:rsidR="00A53E7A" w:rsidP="00A53E7A">
      <w:pPr>
        <w:pStyle w:val="ListParagraph"/>
        <w:numPr>
          <w:ilvl w:val="1"/>
          <w:numId w:val="1"/>
        </w:numPr>
        <w:spacing w:after="160" w:line="240" w:lineRule="auto"/>
      </w:pPr>
      <w:r>
        <w:t>A copy of the distribution agreement they hold with each manufacturer, showing that they are authorized to take possession of and resell the Immunochemistry Instrumentation in accordance with the Small Business Administration (SBA) Non-Manufacturer Rule (NMR).</w:t>
      </w:r>
    </w:p>
    <w:p w:rsidR="00A53E7A" w:rsidP="00A53E7A">
      <w:pPr>
        <w:pStyle w:val="ListParagraph"/>
        <w:numPr>
          <w:ilvl w:val="0"/>
          <w:numId w:val="1"/>
        </w:numPr>
        <w:spacing w:after="160" w:line="240" w:lineRule="auto"/>
      </w:pPr>
      <w:r>
        <w:t>The vendor shall provide copies of government licenses appropriate to do the work described in the Statement of Work.</w:t>
      </w:r>
    </w:p>
    <w:p w:rsidR="00A53E7A" w:rsidP="00A53E7A">
      <w:pPr>
        <w:spacing w:line="240" w:lineRule="auto"/>
      </w:pPr>
      <w:r>
        <w:t xml:space="preserve">Additionally, contractors can provide feedback on the attached Requirements Description, which may be considered if a solicitation is posted.  </w:t>
      </w:r>
    </w:p>
    <w:p w:rsidR="00A53E7A" w:rsidRPr="00265C89" w:rsidP="00A53E7A">
      <w:pPr>
        <w:spacing w:line="240" w:lineRule="auto"/>
        <w:rPr>
          <w:b/>
          <w:bCs/>
        </w:rPr>
      </w:pPr>
      <w:r w:rsidRPr="00265C89">
        <w:rPr>
          <w:b/>
          <w:bCs/>
        </w:rPr>
        <w:t xml:space="preserve">Provide the requested information to </w:t>
      </w:r>
      <w:r>
        <w:rPr>
          <w:b/>
          <w:bCs/>
        </w:rPr>
        <w:t>Hector Gonzalez</w:t>
      </w:r>
      <w:r w:rsidRPr="00265C89">
        <w:rPr>
          <w:b/>
          <w:bCs/>
        </w:rPr>
        <w:t xml:space="preserve"> at </w:t>
      </w:r>
      <w:r>
        <w:fldChar w:fldCharType="begin"/>
      </w:r>
      <w:r>
        <w:instrText xml:space="preserve"> HYPERLINK "mailto:hector.gonzalez1@va.gov" </w:instrText>
      </w:r>
      <w:r>
        <w:fldChar w:fldCharType="separate"/>
      </w:r>
      <w:r w:rsidRPr="00BC0C7A">
        <w:rPr>
          <w:rStyle w:val="Hyperlink"/>
          <w:b/>
          <w:bCs/>
        </w:rPr>
        <w:t>hector.gonzalez1@va.gov</w:t>
      </w:r>
      <w:r>
        <w:fldChar w:fldCharType="end"/>
      </w:r>
      <w:r w:rsidRPr="00265C89">
        <w:rPr>
          <w:b/>
          <w:bCs/>
        </w:rPr>
        <w:t xml:space="preserve"> before 5:00 PM PST on </w:t>
      </w:r>
      <w:r>
        <w:rPr>
          <w:b/>
          <w:bCs/>
        </w:rPr>
        <w:t>April 11</w:t>
      </w:r>
      <w:r w:rsidRPr="00265C89">
        <w:rPr>
          <w:b/>
          <w:bCs/>
        </w:rPr>
        <w:t>, 202</w:t>
      </w:r>
      <w:r>
        <w:rPr>
          <w:b/>
          <w:bCs/>
        </w:rPr>
        <w:t>5</w:t>
      </w:r>
      <w:r w:rsidRPr="00265C89">
        <w:rPr>
          <w:b/>
          <w:bCs/>
        </w:rPr>
        <w:t xml:space="preserve">.  All question must be submitted in writing, no telephonic inquiries will be accepted.  </w:t>
      </w:r>
    </w:p>
    <w:p w:rsidR="00A53E7A" w:rsidRPr="00265C89" w:rsidP="00A53E7A">
      <w:pPr>
        <w:autoSpaceDE w:val="0"/>
        <w:autoSpaceDN w:val="0"/>
        <w:adjustRightInd w:val="0"/>
        <w:spacing w:after="0" w:line="240" w:lineRule="auto"/>
        <w:rPr>
          <w:rFonts w:eastAsiaTheme="minorHAnsi" w:cstheme="minorHAnsi"/>
          <w:i/>
          <w:iCs/>
        </w:rPr>
      </w:pPr>
      <w:r w:rsidRPr="00265C89">
        <w:rPr>
          <w:rFonts w:eastAsiaTheme="minorHAnsi" w:cstheme="minorHAnsi"/>
          <w:i/>
          <w:iCs/>
        </w:rPr>
        <w:t>This is a sources</w:t>
      </w:r>
      <w:r>
        <w:rPr>
          <w:rFonts w:eastAsiaTheme="minorHAnsi" w:cstheme="minorHAnsi"/>
          <w:i/>
          <w:iCs/>
        </w:rPr>
        <w:t>-</w:t>
      </w:r>
      <w:r w:rsidRPr="00265C89">
        <w:rPr>
          <w:rFonts w:eastAsiaTheme="minorHAnsi" w:cstheme="minorHAnsi"/>
          <w:i/>
          <w:iCs/>
        </w:rPr>
        <w:t>sought notice only. The purpose of this notice is to obtain information</w:t>
      </w:r>
    </w:p>
    <w:p w:rsidR="00A53E7A" w:rsidRPr="00265C89" w:rsidP="00A53E7A">
      <w:pPr>
        <w:autoSpaceDE w:val="0"/>
        <w:autoSpaceDN w:val="0"/>
        <w:adjustRightInd w:val="0"/>
        <w:spacing w:after="0" w:line="240" w:lineRule="auto"/>
        <w:rPr>
          <w:rFonts w:eastAsiaTheme="minorHAnsi" w:cstheme="minorHAnsi"/>
          <w:i/>
          <w:iCs/>
        </w:rPr>
      </w:pPr>
      <w:r w:rsidRPr="00265C89">
        <w:rPr>
          <w:rFonts w:eastAsiaTheme="minorHAnsi" w:cstheme="minorHAnsi"/>
          <w:i/>
          <w:iCs/>
        </w:rPr>
        <w:t>regarding the availability and capability of verified sources to include qualified SDVOSB/VOSB</w:t>
      </w:r>
    </w:p>
    <w:p w:rsidR="00A53E7A" w:rsidRPr="00265C89" w:rsidP="00A53E7A">
      <w:pPr>
        <w:autoSpaceDE w:val="0"/>
        <w:autoSpaceDN w:val="0"/>
        <w:adjustRightInd w:val="0"/>
        <w:spacing w:after="0" w:line="240" w:lineRule="auto"/>
        <w:rPr>
          <w:rFonts w:eastAsiaTheme="minorHAnsi" w:cstheme="minorHAnsi"/>
          <w:i/>
          <w:iCs/>
        </w:rPr>
      </w:pPr>
      <w:r w:rsidRPr="00265C89">
        <w:rPr>
          <w:rFonts w:eastAsiaTheme="minorHAnsi" w:cstheme="minorHAnsi"/>
          <w:i/>
          <w:iCs/>
        </w:rPr>
        <w:t>to perform this potential requirement. Responses received will assist the Government in</w:t>
      </w:r>
    </w:p>
    <w:p w:rsidR="00A53E7A" w:rsidRPr="00265C89" w:rsidP="00A53E7A">
      <w:pPr>
        <w:autoSpaceDE w:val="0"/>
        <w:autoSpaceDN w:val="0"/>
        <w:adjustRightInd w:val="0"/>
        <w:spacing w:after="0" w:line="240" w:lineRule="auto"/>
        <w:rPr>
          <w:rFonts w:eastAsiaTheme="minorHAnsi" w:cstheme="minorHAnsi"/>
          <w:i/>
          <w:iCs/>
        </w:rPr>
      </w:pPr>
      <w:r w:rsidRPr="00265C89">
        <w:rPr>
          <w:rFonts w:eastAsiaTheme="minorHAnsi" w:cstheme="minorHAnsi"/>
          <w:i/>
          <w:iCs/>
        </w:rPr>
        <w:t>determining the appropriate acquisition strategy. The Government may or may not issue a</w:t>
      </w:r>
    </w:p>
    <w:p w:rsidR="00A53E7A" w:rsidRPr="00265C89" w:rsidP="00A53E7A">
      <w:pPr>
        <w:autoSpaceDE w:val="0"/>
        <w:autoSpaceDN w:val="0"/>
        <w:adjustRightInd w:val="0"/>
        <w:spacing w:after="0" w:line="240" w:lineRule="auto"/>
        <w:rPr>
          <w:rFonts w:eastAsiaTheme="minorHAnsi" w:cstheme="minorHAnsi"/>
          <w:i/>
          <w:iCs/>
        </w:rPr>
      </w:pPr>
      <w:r w:rsidRPr="00265C89">
        <w:rPr>
          <w:rFonts w:eastAsiaTheme="minorHAnsi" w:cstheme="minorHAnsi"/>
          <w:i/>
          <w:iCs/>
        </w:rPr>
        <w:t>solicitation as a result of this notice. There is no solicitation available at this time, and this is not</w:t>
      </w:r>
    </w:p>
    <w:p w:rsidR="00743742">
      <w:r w:rsidRPr="00265C89">
        <w:rPr>
          <w:rFonts w:eastAsiaTheme="minorHAnsi" w:cstheme="minorHAnsi"/>
          <w:i/>
          <w:iCs/>
        </w:rPr>
        <w:t>a request for quotes.</w:t>
      </w:r>
    </w:p>
    <w:p>
      <w:pPr>
        <w:pStyle w:val="Heading2"/>
      </w:pPr>
      <w:r>
        <w:t>DISCLAIMER</w:t>
      </w:r>
    </w:p>
    <w:p>
      <w:r>
        <w:t xml:space="preserve">  This RFI is issued solely for information and planning purposes only and does not constitute a solicitation.  All information received in response to this RFI that is marked as proprietary will be handled accordingly.  In accordance with FAR 15.201(e), responses to this notice are not offers and cannot be accepted by the Government to form a binding contract.  Responders are solely responsible for all expenses associated with responding to this RFI.</w:t>
      </w:r>
    </w:p>
    <w:p w:rsidR="00204E6A" w:rsidRPr="0031061D" w:rsidP="00204E6A">
      <w:pPr>
        <w:pStyle w:val="Heading1"/>
        <w:numPr>
          <w:ilvl w:val="0"/>
          <w:numId w:val="3"/>
        </w:numPr>
        <w:spacing w:after="120" w:line="360" w:lineRule="auto"/>
        <w:ind w:right="1440"/>
        <w:contextualSpacing/>
        <w:rPr>
          <w:sz w:val="22"/>
          <w:szCs w:val="22"/>
        </w:rPr>
      </w:pPr>
      <w:r w:rsidRPr="0031061D">
        <w:rPr>
          <w:sz w:val="22"/>
          <w:szCs w:val="22"/>
        </w:rPr>
        <w:t xml:space="preserve">BPA LANGUAGE </w:t>
      </w:r>
    </w:p>
    <w:p w:rsidR="00204E6A" w:rsidRPr="0031061D" w:rsidP="00204E6A">
      <w:pPr>
        <w:pStyle w:val="ListParagraph"/>
        <w:numPr>
          <w:ilvl w:val="1"/>
          <w:numId w:val="3"/>
        </w:numPr>
        <w:spacing w:after="120" w:line="360" w:lineRule="auto"/>
        <w:rPr>
          <w:sz w:val="22"/>
          <w:szCs w:val="22"/>
        </w:rPr>
      </w:pPr>
      <w:r w:rsidRPr="0031061D">
        <w:rPr>
          <w:b/>
          <w:sz w:val="22"/>
          <w:szCs w:val="22"/>
        </w:rPr>
        <w:t>INTENT:</w:t>
      </w:r>
      <w:r w:rsidRPr="0031061D">
        <w:rPr>
          <w:sz w:val="22"/>
          <w:szCs w:val="22"/>
        </w:rPr>
        <w:t xml:space="preserve"> Pursuant to Federal Supply Schedule (FSS) and FSS Contract Clause I-FSS-646, it is the intent of the Department of Veterans Affairs, (herein afterwards referred to as </w:t>
      </w:r>
      <w:r>
        <w:rPr>
          <w:sz w:val="22"/>
          <w:szCs w:val="22"/>
        </w:rPr>
        <w:t>VHAPORHCS</w:t>
      </w:r>
      <w:r w:rsidRPr="0031061D">
        <w:rPr>
          <w:sz w:val="22"/>
          <w:szCs w:val="22"/>
        </w:rPr>
        <w:t xml:space="preserve"> to establish a </w:t>
      </w:r>
      <w:r>
        <w:rPr>
          <w:sz w:val="22"/>
          <w:szCs w:val="22"/>
        </w:rPr>
        <w:t>Three-year</w:t>
      </w:r>
      <w:r>
        <w:rPr>
          <w:sz w:val="22"/>
          <w:szCs w:val="22"/>
        </w:rPr>
        <w:t xml:space="preserve"> procurement </w:t>
      </w:r>
      <w:r w:rsidRPr="0031061D">
        <w:rPr>
          <w:sz w:val="22"/>
          <w:szCs w:val="22"/>
        </w:rPr>
        <w:t>for Automated Chemistry Immunochemistry Instrumentation</w:t>
      </w:r>
      <w:r>
        <w:rPr>
          <w:sz w:val="22"/>
          <w:szCs w:val="22"/>
        </w:rPr>
        <w:t xml:space="preserve"> or continuation of current </w:t>
      </w:r>
      <w:r w:rsidRPr="0031061D">
        <w:rPr>
          <w:sz w:val="22"/>
          <w:szCs w:val="22"/>
        </w:rPr>
        <w:t>Automated Chemistry Immunochemistry Instrumentation</w:t>
      </w:r>
      <w:r>
        <w:rPr>
          <w:sz w:val="22"/>
          <w:szCs w:val="22"/>
        </w:rPr>
        <w:t>.</w:t>
      </w:r>
      <w:r w:rsidRPr="0031061D">
        <w:rPr>
          <w:sz w:val="22"/>
          <w:szCs w:val="22"/>
        </w:rPr>
        <w:t xml:space="preserve"> </w:t>
      </w:r>
      <w:r w:rsidRPr="0031061D">
        <w:rPr>
          <w:bCs/>
          <w:color w:val="FF0000"/>
          <w:sz w:val="22"/>
          <w:szCs w:val="22"/>
          <w:u w:val="single"/>
        </w:rPr>
        <w:t>T</w:t>
      </w:r>
      <w:r w:rsidRPr="0031061D">
        <w:rPr>
          <w:color w:val="FF0000"/>
          <w:sz w:val="22"/>
          <w:szCs w:val="22"/>
          <w:u w:val="single"/>
        </w:rPr>
        <w:t xml:space="preserve">he Government will award </w:t>
      </w:r>
      <w:r>
        <w:t>a CPRR</w:t>
      </w:r>
      <w:r w:rsidRPr="0031061D">
        <w:rPr>
          <w:color w:val="FF0000"/>
          <w:sz w:val="22"/>
          <w:szCs w:val="22"/>
          <w:u w:val="single"/>
        </w:rPr>
        <w:t xml:space="preserve"> BPA to a single Contractor for Automated Chemistry Immunochemistry Instrumentation.</w:t>
      </w:r>
      <w:r w:rsidRPr="0031061D">
        <w:rPr>
          <w:sz w:val="22"/>
          <w:szCs w:val="22"/>
          <w:u w:val="single"/>
        </w:rPr>
        <w:t xml:space="preserve"> </w:t>
      </w:r>
      <w:r w:rsidRPr="0031061D">
        <w:rPr>
          <w:sz w:val="22"/>
          <w:szCs w:val="22"/>
        </w:rPr>
        <w:t xml:space="preserve"> Contractor agrees to the following terms of the BPA exclusively with </w:t>
      </w:r>
      <w:r>
        <w:rPr>
          <w:sz w:val="22"/>
          <w:szCs w:val="22"/>
        </w:rPr>
        <w:t xml:space="preserve">VAPORHCS </w:t>
      </w:r>
      <w:r w:rsidRPr="0031061D">
        <w:rPr>
          <w:sz w:val="22"/>
          <w:szCs w:val="22"/>
        </w:rPr>
        <w:t>awarded in the final BPA. Additional tests/reagents/instrumentation may be added to the BPA as new technology becomes available on the market and added to the base FSS contract.</w:t>
      </w:r>
    </w:p>
    <w:p w:rsidR="00204E6A" w:rsidRPr="0031061D" w:rsidP="00204E6A">
      <w:pPr>
        <w:pStyle w:val="ListParagraph"/>
        <w:numPr>
          <w:ilvl w:val="1"/>
          <w:numId w:val="3"/>
        </w:numPr>
        <w:spacing w:after="120" w:line="360" w:lineRule="auto"/>
        <w:rPr>
          <w:sz w:val="22"/>
          <w:szCs w:val="22"/>
        </w:rPr>
      </w:pPr>
      <w:r w:rsidRPr="0031061D">
        <w:rPr>
          <w:b/>
          <w:sz w:val="22"/>
          <w:szCs w:val="22"/>
        </w:rPr>
        <w:t>ORDERS:</w:t>
      </w:r>
      <w:r w:rsidRPr="0031061D">
        <w:rPr>
          <w:sz w:val="22"/>
          <w:szCs w:val="22"/>
        </w:rPr>
        <w:t xml:space="preserve"> All products ordered under this BPA, placed against the Federal Supply Schedule Award Contract(s), are subject to the terms and conditions of the FSS contract.  This BPA does not obligate any funds.  The Government is obligated only to the extent of authorized orders actually issued under the BPA by authorized individuals.</w:t>
      </w:r>
    </w:p>
    <w:p w:rsidR="00204E6A" w:rsidRPr="00814189" w:rsidP="00204E6A">
      <w:pPr>
        <w:pStyle w:val="ListParagraph"/>
        <w:numPr>
          <w:ilvl w:val="1"/>
          <w:numId w:val="3"/>
        </w:numPr>
        <w:spacing w:after="120" w:line="360" w:lineRule="auto"/>
        <w:rPr>
          <w:bCs/>
          <w:sz w:val="22"/>
          <w:szCs w:val="22"/>
        </w:rPr>
      </w:pPr>
      <w:r w:rsidRPr="0031061D">
        <w:rPr>
          <w:b/>
          <w:sz w:val="22"/>
          <w:szCs w:val="22"/>
        </w:rPr>
        <w:t>PRICES AND TERMS</w:t>
      </w:r>
      <w:r w:rsidRPr="0031061D">
        <w:rPr>
          <w:sz w:val="22"/>
          <w:szCs w:val="22"/>
        </w:rPr>
        <w:t xml:space="preserve">: </w:t>
      </w:r>
      <w:r w:rsidRPr="00D23C00">
        <w:rPr>
          <w:sz w:val="22"/>
          <w:szCs w:val="22"/>
        </w:rPr>
        <w:t xml:space="preserve">VAPORHCS will provide an </w:t>
      </w:r>
      <w:r w:rsidRPr="00D23C00">
        <w:rPr>
          <w:sz w:val="22"/>
          <w:szCs w:val="22"/>
          <w:u w:val="single"/>
        </w:rPr>
        <w:t>estimated annual volume</w:t>
      </w:r>
      <w:r w:rsidRPr="00D23C00">
        <w:rPr>
          <w:sz w:val="22"/>
          <w:szCs w:val="22"/>
        </w:rPr>
        <w:t xml:space="preserve"> by test as reflected in Attachment D.1.</w:t>
      </w:r>
      <w:r w:rsidRPr="0031061D">
        <w:rPr>
          <w:sz w:val="22"/>
          <w:szCs w:val="22"/>
        </w:rPr>
        <w:t xml:space="preserve">  The </w:t>
      </w:r>
      <w:r w:rsidRPr="0031061D">
        <w:rPr>
          <w:bCs/>
          <w:sz w:val="22"/>
          <w:szCs w:val="22"/>
        </w:rPr>
        <w:t xml:space="preserve">Government estimates the volumes </w:t>
      </w:r>
      <w:r>
        <w:rPr>
          <w:bCs/>
          <w:sz w:val="22"/>
          <w:szCs w:val="22"/>
        </w:rPr>
        <w:t>at VAPORHCS</w:t>
      </w:r>
      <w:r w:rsidRPr="0031061D">
        <w:rPr>
          <w:bCs/>
          <w:sz w:val="22"/>
          <w:szCs w:val="22"/>
        </w:rPr>
        <w:t xml:space="preserve"> as listed in Attachment D.1, but does not guarantee volumes as listed; they are </w:t>
      </w:r>
      <w:r w:rsidRPr="0031061D">
        <w:rPr>
          <w:bCs/>
          <w:sz w:val="22"/>
          <w:szCs w:val="22"/>
          <w:u w:val="single"/>
        </w:rPr>
        <w:t>estimates ONLY</w:t>
      </w:r>
      <w:r w:rsidRPr="0031061D">
        <w:rPr>
          <w:bCs/>
          <w:sz w:val="22"/>
          <w:szCs w:val="22"/>
        </w:rPr>
        <w:t>.</w:t>
      </w:r>
      <w:r>
        <w:rPr>
          <w:bCs/>
          <w:sz w:val="22"/>
          <w:szCs w:val="22"/>
        </w:rPr>
        <w:t xml:space="preserve"> </w:t>
      </w:r>
      <w:r w:rsidRPr="00DF5ACA">
        <w:rPr>
          <w:bCs/>
          <w:sz w:val="22"/>
          <w:szCs w:val="22"/>
        </w:rPr>
        <w:t>The facility will fax, email or upload their test counts from the chemistry analyzers. By the 10</w:t>
      </w:r>
      <w:r w:rsidRPr="00DF5ACA">
        <w:rPr>
          <w:bCs/>
          <w:sz w:val="22"/>
          <w:szCs w:val="22"/>
          <w:vertAlign w:val="superscript"/>
        </w:rPr>
        <w:t>th</w:t>
      </w:r>
      <w:r w:rsidRPr="00DF5ACA">
        <w:rPr>
          <w:bCs/>
          <w:sz w:val="22"/>
          <w:szCs w:val="22"/>
        </w:rPr>
        <w:t xml:space="preserve"> of the following month to the contractor.</w:t>
      </w:r>
    </w:p>
    <w:p w:rsidR="00204E6A" w:rsidRPr="0031061D" w:rsidP="00204E6A">
      <w:pPr>
        <w:pStyle w:val="ListParagraph"/>
        <w:numPr>
          <w:ilvl w:val="1"/>
          <w:numId w:val="3"/>
        </w:numPr>
        <w:spacing w:after="120" w:line="360" w:lineRule="auto"/>
        <w:rPr>
          <w:sz w:val="22"/>
          <w:szCs w:val="22"/>
        </w:rPr>
      </w:pPr>
      <w:r w:rsidRPr="0031061D">
        <w:rPr>
          <w:b/>
          <w:bCs/>
          <w:sz w:val="22"/>
          <w:szCs w:val="22"/>
        </w:rPr>
        <w:t>TERM OF AGREEMENT</w:t>
      </w:r>
      <w:r w:rsidRPr="0031061D">
        <w:rPr>
          <w:bCs/>
          <w:sz w:val="22"/>
          <w:szCs w:val="22"/>
        </w:rPr>
        <w:t xml:space="preserve">: </w:t>
      </w:r>
      <w:r w:rsidRPr="0031061D">
        <w:rPr>
          <w:sz w:val="22"/>
          <w:szCs w:val="22"/>
        </w:rPr>
        <w:t xml:space="preserve">This will be a </w:t>
      </w:r>
      <w:r w:rsidRPr="0031061D">
        <w:rPr>
          <w:color w:val="FF0000"/>
          <w:sz w:val="22"/>
          <w:szCs w:val="22"/>
          <w:u w:val="single"/>
        </w:rPr>
        <w:t>single award</w:t>
      </w:r>
      <w:r w:rsidRPr="0031061D">
        <w:rPr>
          <w:sz w:val="22"/>
          <w:szCs w:val="22"/>
        </w:rPr>
        <w:t xml:space="preserve">, firm-fixed price BPA with one base year and </w:t>
      </w:r>
      <w:r>
        <w:rPr>
          <w:sz w:val="22"/>
          <w:szCs w:val="22"/>
        </w:rPr>
        <w:t>two</w:t>
      </w:r>
      <w:r w:rsidRPr="0031061D">
        <w:rPr>
          <w:sz w:val="22"/>
          <w:szCs w:val="22"/>
        </w:rPr>
        <w:t>, one year options and shall be effective for the term of the FSS Contract including additional FSS extensions.</w:t>
      </w:r>
      <w:r w:rsidRPr="0031061D">
        <w:rPr>
          <w:bCs/>
          <w:sz w:val="22"/>
          <w:szCs w:val="22"/>
        </w:rPr>
        <w:t xml:space="preserve"> </w:t>
      </w:r>
      <w:r w:rsidRPr="0031061D">
        <w:rPr>
          <w:sz w:val="22"/>
          <w:szCs w:val="22"/>
        </w:rPr>
        <w:t xml:space="preserve">The Contractor is required to immediately notify the CO (Government Contracting Officer), in writing, if at any time the FSS contract upon which this BPA is based, is no longer in force. The resulting BPA shall be automatically extended for the remaining term of the BPA without modification upon any extensions of the Contractor’s FSS contract. In addition, where a new FSS contract replaces Contractor’s current FSS contract, the resulting BPA may be reassigned under the new FSS contract for the remaining term of the BPA with written agreement between Contractor and the contracting officer.  This BPA is not a contract.  If the Contractor fails to perform in a manner satisfactory to the CO, this BPA may be canceled with thirty (30) days written notice to the Contractor by the CO. The Contractor shall also reserve the right to terminate this contract with </w:t>
      </w:r>
      <w:r>
        <w:rPr>
          <w:sz w:val="22"/>
          <w:szCs w:val="22"/>
        </w:rPr>
        <w:t>60</w:t>
      </w:r>
      <w:r w:rsidRPr="0031061D">
        <w:rPr>
          <w:sz w:val="22"/>
          <w:szCs w:val="22"/>
        </w:rPr>
        <w:t xml:space="preserve"> days notification to the CO. This BPA shall be reviewed annually. </w:t>
      </w:r>
      <w:r w:rsidRPr="00E7686F">
        <w:rPr>
          <w:b/>
          <w:bCs/>
          <w:sz w:val="22"/>
          <w:szCs w:val="22"/>
        </w:rPr>
        <w:t>VAPORHCS intends</w:t>
      </w:r>
      <w:r w:rsidRPr="0031061D">
        <w:rPr>
          <w:b/>
          <w:sz w:val="22"/>
          <w:szCs w:val="22"/>
        </w:rPr>
        <w:t xml:space="preserve"> to establish the base year of the agreement for the period of</w:t>
      </w:r>
      <w:r w:rsidRPr="0031061D">
        <w:rPr>
          <w:sz w:val="22"/>
          <w:szCs w:val="22"/>
        </w:rPr>
        <w:t xml:space="preserve">  </w:t>
      </w:r>
      <w:r w:rsidRPr="00D23C00">
        <w:t>6/16/2025</w:t>
      </w:r>
      <w:r w:rsidRPr="00D23C00">
        <w:rPr>
          <w:sz w:val="22"/>
          <w:szCs w:val="22"/>
        </w:rPr>
        <w:t xml:space="preserve"> </w:t>
      </w:r>
      <w:r w:rsidRPr="00D23C00">
        <w:rPr>
          <w:b/>
          <w:sz w:val="22"/>
          <w:szCs w:val="22"/>
        </w:rPr>
        <w:t>through</w:t>
      </w:r>
      <w:r w:rsidRPr="00D23C00">
        <w:rPr>
          <w:sz w:val="22"/>
          <w:szCs w:val="22"/>
        </w:rPr>
        <w:t xml:space="preserve">  </w:t>
      </w:r>
      <w:r w:rsidRPr="00D23C00">
        <w:t>6/15/2026</w:t>
      </w:r>
      <w:r w:rsidRPr="00D23C00">
        <w:rPr>
          <w:sz w:val="22"/>
          <w:szCs w:val="22"/>
        </w:rPr>
        <w:t>.</w:t>
      </w:r>
      <w:r w:rsidRPr="0031061D">
        <w:rPr>
          <w:sz w:val="22"/>
          <w:szCs w:val="22"/>
        </w:rPr>
        <w:t xml:space="preserve"> </w:t>
      </w:r>
    </w:p>
    <w:p w:rsidR="00204E6A" w:rsidRPr="0031061D" w:rsidP="00204E6A">
      <w:pPr>
        <w:pStyle w:val="ListParagraph"/>
        <w:numPr>
          <w:ilvl w:val="1"/>
          <w:numId w:val="3"/>
        </w:numPr>
        <w:spacing w:after="120" w:line="360" w:lineRule="auto"/>
        <w:rPr>
          <w:sz w:val="22"/>
          <w:szCs w:val="22"/>
        </w:rPr>
      </w:pPr>
      <w:r w:rsidRPr="0031061D">
        <w:rPr>
          <w:b/>
          <w:sz w:val="22"/>
          <w:szCs w:val="22"/>
        </w:rPr>
        <w:t xml:space="preserve">IDENTIFICATION:  </w:t>
      </w:r>
      <w:r w:rsidRPr="0031061D">
        <w:rPr>
          <w:sz w:val="22"/>
          <w:szCs w:val="22"/>
        </w:rPr>
        <w:t xml:space="preserve">Delivery Orders issued shall be identified by their applicable FSS Contract Number and BPA Number.  FSS &amp; BPA identification numbers are assigned through the VHA Procurement Activity; </w:t>
      </w:r>
      <w:r w:rsidRPr="0031061D">
        <w:t>CO: click here to insert identification numbers (BPA &amp; FSS)</w:t>
      </w:r>
      <w:r w:rsidRPr="0031061D">
        <w:rPr>
          <w:sz w:val="22"/>
          <w:szCs w:val="22"/>
        </w:rPr>
        <w:t>.</w:t>
      </w:r>
    </w:p>
    <w:p w:rsidR="00204E6A" w:rsidRPr="0031061D" w:rsidP="00204E6A">
      <w:pPr>
        <w:pStyle w:val="ListParagraph"/>
        <w:numPr>
          <w:ilvl w:val="1"/>
          <w:numId w:val="3"/>
        </w:numPr>
        <w:spacing w:after="120" w:line="360" w:lineRule="auto"/>
        <w:rPr>
          <w:sz w:val="22"/>
          <w:szCs w:val="22"/>
        </w:rPr>
      </w:pPr>
      <w:r w:rsidRPr="0031061D">
        <w:rPr>
          <w:b/>
          <w:sz w:val="22"/>
          <w:szCs w:val="22"/>
        </w:rPr>
        <w:t>ORDERING METHOD</w:t>
      </w:r>
      <w:r w:rsidRPr="0031061D">
        <w:rPr>
          <w:sz w:val="22"/>
          <w:szCs w:val="22"/>
        </w:rPr>
        <w:t>:  The participating facilities may order products via Electronic Data Interchange (EDI), telephone, facsimile or other written communication, identifying the products by number, quantity, purchase</w:t>
      </w:r>
      <w:r w:rsidRPr="0031061D">
        <w:rPr>
          <w:b/>
          <w:sz w:val="22"/>
          <w:szCs w:val="22"/>
        </w:rPr>
        <w:t xml:space="preserve"> </w:t>
      </w:r>
      <w:r w:rsidRPr="0031061D">
        <w:rPr>
          <w:sz w:val="22"/>
          <w:szCs w:val="22"/>
        </w:rPr>
        <w:t>price</w:t>
      </w:r>
      <w:r w:rsidRPr="0031061D">
        <w:rPr>
          <w:b/>
          <w:sz w:val="22"/>
          <w:szCs w:val="22"/>
        </w:rPr>
        <w:t>,</w:t>
      </w:r>
      <w:r w:rsidRPr="0031061D">
        <w:rPr>
          <w:sz w:val="22"/>
          <w:szCs w:val="22"/>
        </w:rPr>
        <w:t xml:space="preserve"> address for delivery, and any special instructions.  </w:t>
      </w:r>
    </w:p>
    <w:p w:rsidR="00204E6A" w:rsidRPr="0031061D" w:rsidP="00204E6A">
      <w:pPr>
        <w:pStyle w:val="Heading1"/>
        <w:numPr>
          <w:ilvl w:val="0"/>
          <w:numId w:val="3"/>
        </w:numPr>
        <w:spacing w:after="120" w:line="360" w:lineRule="auto"/>
        <w:contextualSpacing/>
        <w:rPr>
          <w:sz w:val="22"/>
          <w:szCs w:val="22"/>
          <w:u w:val="none"/>
        </w:rPr>
      </w:pPr>
      <w:r w:rsidRPr="0031061D">
        <w:rPr>
          <w:sz w:val="22"/>
          <w:szCs w:val="22"/>
        </w:rPr>
        <w:t>DESCRIPTION/SPECIFICATIONS/TECHNICAL EVALUATION PLAN</w:t>
      </w:r>
    </w:p>
    <w:p w:rsidR="00204E6A" w:rsidRPr="0031061D" w:rsidP="00204E6A">
      <w:pPr>
        <w:pStyle w:val="Heading1"/>
        <w:numPr>
          <w:ilvl w:val="1"/>
          <w:numId w:val="3"/>
        </w:numPr>
        <w:spacing w:after="120" w:line="360" w:lineRule="auto"/>
        <w:contextualSpacing/>
        <w:rPr>
          <w:b w:val="0"/>
          <w:sz w:val="22"/>
          <w:szCs w:val="22"/>
          <w:u w:val="none"/>
        </w:rPr>
      </w:pPr>
      <w:r w:rsidRPr="0031061D">
        <w:rPr>
          <w:sz w:val="22"/>
          <w:szCs w:val="22"/>
          <w:u w:val="none"/>
        </w:rPr>
        <w:t>SCOPE OF PROCUREMENT:</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The desired instrumentation shall have the capability of performing or reporting the clinical parameters as defined in the Technical Evaluation Plan.  The instrument shall </w:t>
      </w:r>
      <w:r>
        <w:t>have random access capability (if discrete testing is required) and</w:t>
      </w:r>
      <w:r w:rsidRPr="0031061D">
        <w:rPr>
          <w:rFonts w:ascii="Times New Roman" w:hAnsi="Times New Roman" w:cs="Times New Roman"/>
          <w:sz w:val="22"/>
          <w:szCs w:val="22"/>
        </w:rPr>
        <w:t xml:space="preserve"> be able to simultaneously perform the complete profile as described below meeting the performance characteristics for accuracy and precision as defined by the 1988 Clinical Laboratory Improvement Act (CLIA) and the Clinical and Laboratory Standards Institute (CLSI). </w:t>
      </w:r>
    </w:p>
    <w:p w:rsidR="00204E6A" w:rsidRPr="00D23C00"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D23C00">
        <w:rPr>
          <w:rFonts w:ascii="Times New Roman" w:hAnsi="Times New Roman" w:cs="Times New Roman"/>
          <w:sz w:val="22"/>
          <w:szCs w:val="22"/>
        </w:rPr>
        <w:t xml:space="preserve">If Contractor offers an integrated family of analyzers, the technical evaluation panel will determine if instrumentation proposed meets needs of using facility. </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bCs/>
          <w:sz w:val="22"/>
          <w:szCs w:val="22"/>
        </w:rPr>
      </w:pPr>
      <w:r w:rsidRPr="0031061D">
        <w:rPr>
          <w:rFonts w:ascii="Times New Roman" w:hAnsi="Times New Roman" w:cs="Times New Roman"/>
          <w:sz w:val="22"/>
          <w:szCs w:val="22"/>
        </w:rPr>
        <w:t xml:space="preserve">Equipment shall be acquired for each of the clinical laboratories located at the </w:t>
      </w:r>
      <w:r>
        <w:rPr>
          <w:rFonts w:ascii="Times New Roman" w:hAnsi="Times New Roman" w:cs="Times New Roman"/>
          <w:sz w:val="22"/>
          <w:szCs w:val="22"/>
        </w:rPr>
        <w:t>VAPORHCS.</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bCs/>
          <w:sz w:val="22"/>
          <w:szCs w:val="22"/>
        </w:rPr>
      </w:pPr>
      <w:r w:rsidRPr="0031061D">
        <w:rPr>
          <w:rFonts w:ascii="Times New Roman" w:hAnsi="Times New Roman" w:cs="Times New Roman"/>
          <w:sz w:val="22"/>
          <w:szCs w:val="22"/>
        </w:rPr>
        <w:t>T</w:t>
      </w:r>
      <w:r w:rsidRPr="0031061D">
        <w:rPr>
          <w:rFonts w:ascii="Times New Roman" w:hAnsi="Times New Roman" w:cs="Times New Roman"/>
          <w:bCs/>
          <w:sz w:val="22"/>
          <w:szCs w:val="22"/>
        </w:rPr>
        <w:t xml:space="preserve">he Contractor is required to provide a continuously stocked inventory of reagents, standards, Vendor provided Controls, supplies, disposables and any other materials, to include replacement parts, required to properly perform tests on the equipment such that equipment operations are not interrupted.  These items shall be of the highest quality, sensitivity, specificity and tested to assure precision and accuracy. Expiration date must be clearly marked on reagent, standards and control containers. Unexpected changes in methodology/technology shall be at the expense of the Contractor.  Alert/Notification of any delays in shipment as well as any or all technical advisory/recalls/alerts, prior to or simultaneously with field alerts should be forwarded to the designated individuals determined at contract award. </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bCs/>
          <w:sz w:val="22"/>
          <w:szCs w:val="22"/>
        </w:rPr>
      </w:pPr>
      <w:r w:rsidRPr="0031061D">
        <w:rPr>
          <w:rFonts w:ascii="Times New Roman" w:hAnsi="Times New Roman" w:cs="Times New Roman"/>
          <w:bCs/>
          <w:sz w:val="22"/>
          <w:szCs w:val="22"/>
        </w:rPr>
        <w:t xml:space="preserve"> </w:t>
      </w:r>
      <w:r>
        <w:rPr>
          <w:rFonts w:ascii="Times New Roman" w:hAnsi="Times New Roman" w:cs="Times New Roman"/>
          <w:bCs/>
          <w:sz w:val="22"/>
          <w:szCs w:val="22"/>
        </w:rPr>
        <w:t>Contractor is required to provide v</w:t>
      </w:r>
      <w:r w:rsidRPr="0031061D">
        <w:rPr>
          <w:rFonts w:ascii="Times New Roman" w:hAnsi="Times New Roman" w:cs="Times New Roman"/>
          <w:bCs/>
          <w:sz w:val="22"/>
          <w:szCs w:val="22"/>
        </w:rPr>
        <w:t>endor controls for troubleshooting and/or routine use as needed.</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bCs/>
          <w:sz w:val="22"/>
          <w:szCs w:val="22"/>
        </w:rPr>
      </w:pPr>
      <w:r w:rsidRPr="0031061D">
        <w:rPr>
          <w:rFonts w:ascii="Times New Roman" w:hAnsi="Times New Roman" w:cs="Times New Roman"/>
          <w:bCs/>
          <w:sz w:val="22"/>
          <w:szCs w:val="22"/>
        </w:rPr>
        <w:t>The Contractor will provide a detailed list of all parts and supplies that are to be purchased by the facility and are not included in the CPRR contract.</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Special handling for emergency orders of supplies:  In the event that the supplies are found to be defective and unsuitable for use with the Contractor’s equipment, or the Contractor has failed to comply with the requirements for routine supply delivery, the Contractor is required to deliver the </w:t>
      </w:r>
      <w:r w:rsidRPr="0031061D">
        <w:rPr>
          <w:rFonts w:ascii="Times New Roman" w:hAnsi="Times New Roman" w:cs="Times New Roman"/>
          <w:sz w:val="22"/>
          <w:szCs w:val="22"/>
        </w:rPr>
        <w:t xml:space="preserve">supplies within 24 hours of receipt of a verbal order for emergency delivery. If either circumstance has occurred, the Contractor shall deliver to the Government site in the most expeditious manner possible without additional cost to the Government, the necessary consumables in sufficient quantity as required to allow operation of the Contractor’s equipment for one week (under normal Government test load volume).  If additional requests for emergency supply delivery are required by the Government, they shall be honored by the Contractor until the arrival at the laboratory of the monthly standing order/routine supplies delivery.  </w:t>
      </w:r>
    </w:p>
    <w:p w:rsidR="00204E6A" w:rsidRPr="00B83D0F" w:rsidP="00204E6A">
      <w:pPr>
        <w:pStyle w:val="ListParagraph"/>
        <w:numPr>
          <w:ilvl w:val="1"/>
          <w:numId w:val="3"/>
        </w:numPr>
        <w:spacing w:after="120" w:line="360" w:lineRule="auto"/>
        <w:rPr>
          <w:b/>
          <w:sz w:val="22"/>
          <w:szCs w:val="22"/>
        </w:rPr>
      </w:pPr>
      <w:r w:rsidRPr="00B83D0F">
        <w:rPr>
          <w:b/>
          <w:sz w:val="22"/>
          <w:szCs w:val="22"/>
        </w:rPr>
        <w:t>DEFINITIONS:</w:t>
      </w:r>
    </w:p>
    <w:p w:rsidR="00204E6A" w:rsidRPr="00B83D0F"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B83D0F">
        <w:rPr>
          <w:rFonts w:ascii="Times New Roman" w:hAnsi="Times New Roman" w:cs="Times New Roman"/>
          <w:b/>
          <w:sz w:val="22"/>
          <w:szCs w:val="22"/>
        </w:rPr>
        <w:t xml:space="preserve">Cost per Patient Reportable Result (CPRR)- </w:t>
      </w:r>
      <w:r w:rsidRPr="00B83D0F">
        <w:rPr>
          <w:rFonts w:ascii="Times New Roman" w:hAnsi="Times New Roman" w:cs="Times New Roman"/>
          <w:sz w:val="22"/>
          <w:szCs w:val="22"/>
        </w:rPr>
        <w:t xml:space="preserve"> </w:t>
      </w:r>
      <w:r w:rsidRPr="00B83D0F">
        <w:rPr>
          <w:rFonts w:ascii="Times New Roman" w:hAnsi="Times New Roman" w:cs="Times New Roman"/>
          <w:i/>
          <w:sz w:val="22"/>
          <w:szCs w:val="22"/>
        </w:rPr>
        <w:t xml:space="preserve">as defined in the Federal Supply Schedule FSC Group 66, Part III, Cost-Per-Test Clinical Laboratory Analyzers </w:t>
      </w:r>
      <w:r w:rsidRPr="00B83D0F">
        <w:rPr>
          <w:rFonts w:ascii="Times New Roman" w:hAnsi="Times New Roman" w:cs="Times New Roman"/>
          <w:sz w:val="22"/>
          <w:szCs w:val="22"/>
        </w:rPr>
        <w:t>- Contractors are required to provide a price for a reportable patient result.  The per patient reportable result price shall include costs covering: (1) 5 year equipment use, (2) all reagents, standards, Vendor provided quality Controls, supplies, consumable/disposable items, parts, accessories and any other item required for the proper operation of the Contractor’s equipment and necessary for the generation of a patient reportable result.  This per patient reportable result price shall also encompass all costs associated with dilution; repeat and confirmatory testing required to produce a single patient reportable result. It shall also include the material to perform as well as all other costs associated with quality control, calibration and correlation study testing that is prescribed by the Clinical and Laboratory Standards Institute (CLSI).  (3) all necessary maintenance to keep the equipment in good operating condition (This element includes both preventive maintenance and emergency repairs) and (4) training for Government personnel.  Contractors shall provide delivery, installation and removal of equipment at no additional charge.</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Cost per Test (CPT)-</w:t>
      </w:r>
      <w:r w:rsidRPr="0031061D">
        <w:rPr>
          <w:rFonts w:ascii="Times New Roman" w:hAnsi="Times New Roman" w:cs="Times New Roman"/>
          <w:i/>
          <w:sz w:val="22"/>
          <w:szCs w:val="22"/>
        </w:rPr>
        <w:t xml:space="preserve"> as defined in the Federal Supply Schedule FSC Group 66, Part III, Cost-Per-Test Clinical Laboratory Analyzers</w:t>
      </w:r>
      <w:r w:rsidRPr="0031061D">
        <w:rPr>
          <w:rFonts w:ascii="Times New Roman" w:hAnsi="Times New Roman" w:cs="Times New Roman"/>
          <w:sz w:val="22"/>
          <w:szCs w:val="22"/>
        </w:rPr>
        <w:t xml:space="preserve"> – Contractors are required to provide a price for each test that can be performed on its equipment.   The per test price shall include costs covering (1) 5  year  equipment use, (2) all reagents, standards, quality Vendor provided Controls, linearity material, calibration verification material, supplies, consumable/disposable items, parts, accessories and any other item required for the proper operation of the Contractor’s equipment and necessary for the generation and reporting of a test result, (3) all necessary maintenance to keep the equipment in good operating condition  (This element includes both preventive maintenance and emergency repairs) and (4) training for Government personnel.  Contractors are required to provide delivery, installation and removal of equipment at no additional charge.</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Business Associate Agreement (BAA)-</w:t>
      </w:r>
      <w:r w:rsidRPr="0031061D">
        <w:rPr>
          <w:rFonts w:ascii="Times New Roman" w:hAnsi="Times New Roman" w:cs="Times New Roman"/>
          <w:sz w:val="22"/>
          <w:szCs w:val="22"/>
        </w:rPr>
        <w:t xml:space="preserve">  A business associate is an entity, including an individual, company, or organization that, on behalf of VHA,  performs or assists in the performance of functions or activities involving the use or disclosure of PHI, or that provides certain services  involving the disclosure of protected health information (PHI). VHA is a covered entity under the HIPAA Privacy Rule (Privacy Rule). HIPAA regulations require VHA to execute HIPAA-compliant BAAs with certain entities that receives, uses, or discloses VHA PHI in order to perform some activity for VHA. These BAAs obligate VHA business associates to provide the same protections and safeguards to PHI that is required of VHA under the Privacy Rule.  </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 xml:space="preserve">Specimen Processing Automation Line – </w:t>
      </w:r>
      <w:r w:rsidRPr="0031061D">
        <w:rPr>
          <w:rFonts w:ascii="Times New Roman" w:hAnsi="Times New Roman" w:cs="Times New Roman"/>
          <w:sz w:val="22"/>
          <w:szCs w:val="22"/>
        </w:rPr>
        <w:t xml:space="preserve">Pre-analytical processing and archival processing equipment that will automate these specimen processing functions, </w:t>
      </w:r>
      <w:r w:rsidRPr="00780B57">
        <w:rPr>
          <w:rFonts w:ascii="Times New Roman" w:hAnsi="Times New Roman" w:cs="Times New Roman"/>
          <w:sz w:val="22"/>
          <w:szCs w:val="22"/>
        </w:rPr>
        <w:t xml:space="preserve">as indicated in the general requirements </w:t>
      </w:r>
      <w:r w:rsidRPr="00F10307">
        <w:rPr>
          <w:rFonts w:ascii="Times New Roman" w:hAnsi="Times New Roman" w:cs="Times New Roman"/>
          <w:sz w:val="22"/>
          <w:szCs w:val="22"/>
        </w:rPr>
        <w:t>section.</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 xml:space="preserve">Specimen Management System </w:t>
      </w:r>
      <w:r w:rsidRPr="0031061D">
        <w:rPr>
          <w:rFonts w:ascii="Times New Roman" w:hAnsi="Times New Roman" w:cs="Times New Roman"/>
          <w:sz w:val="22"/>
          <w:szCs w:val="22"/>
        </w:rPr>
        <w:t>-  A component of the Processing Automation Line that directs and manages the operation and components of the pre-analytical processing/automation system.</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Contractor Middleware Management System</w:t>
      </w:r>
      <w:r w:rsidRPr="0031061D">
        <w:rPr>
          <w:rFonts w:ascii="Times New Roman" w:hAnsi="Times New Roman" w:cs="Times New Roman"/>
          <w:sz w:val="22"/>
          <w:szCs w:val="22"/>
        </w:rPr>
        <w:t xml:space="preserve"> - A server installed with software that interfaces the testing instrumentation to the Laboratory Information system and is able to receive, process and send data following CLSI guidelines.  </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Throughput</w:t>
      </w:r>
      <w:r w:rsidRPr="0031061D">
        <w:rPr>
          <w:rFonts w:ascii="Times New Roman" w:hAnsi="Times New Roman" w:cs="Times New Roman"/>
          <w:sz w:val="22"/>
          <w:szCs w:val="22"/>
        </w:rPr>
        <w:t xml:space="preserve"> – The speed that the equipment processes and/or operates reported in units per hour. </w:t>
      </w:r>
    </w:p>
    <w:p w:rsidR="00204E6A" w:rsidRPr="0031061D" w:rsidP="00204E6A">
      <w:pPr>
        <w:pStyle w:val="BodyText2"/>
        <w:numPr>
          <w:ilvl w:val="2"/>
          <w:numId w:val="3"/>
        </w:numPr>
        <w:spacing w:after="120" w:line="360" w:lineRule="auto"/>
        <w:ind w:left="630" w:hanging="630"/>
        <w:contextualSpacing/>
        <w:jc w:val="left"/>
        <w:rPr>
          <w:rFonts w:ascii="Times New Roman" w:hAnsi="Times New Roman" w:cs="Times New Roman"/>
          <w:sz w:val="22"/>
          <w:szCs w:val="22"/>
        </w:rPr>
      </w:pPr>
      <w:r w:rsidRPr="0031061D">
        <w:rPr>
          <w:rFonts w:ascii="Times New Roman" w:hAnsi="Times New Roman" w:cs="Times New Roman"/>
          <w:b/>
          <w:sz w:val="22"/>
          <w:szCs w:val="22"/>
        </w:rPr>
        <w:t>TEST MENU</w:t>
      </w:r>
      <w:r w:rsidRPr="0031061D">
        <w:rPr>
          <w:rFonts w:ascii="Times New Roman" w:hAnsi="Times New Roman" w:cs="Times New Roman"/>
          <w:sz w:val="22"/>
          <w:szCs w:val="22"/>
        </w:rPr>
        <w:t>: Refer to Attachment D.1 for desired test menu and estimated annual volumes by laboratory.</w:t>
      </w:r>
    </w:p>
    <w:p w:rsidR="00204E6A" w:rsidRPr="0031061D" w:rsidP="00204E6A">
      <w:pPr>
        <w:pStyle w:val="BodyText2"/>
        <w:numPr>
          <w:ilvl w:val="3"/>
          <w:numId w:val="3"/>
        </w:numPr>
        <w:spacing w:after="120" w:line="360" w:lineRule="auto"/>
        <w:ind w:left="1800" w:hanging="720"/>
        <w:contextualSpacing/>
        <w:jc w:val="left"/>
        <w:rPr>
          <w:rFonts w:ascii="Times New Roman" w:hAnsi="Times New Roman" w:cs="Times New Roman"/>
          <w:sz w:val="22"/>
          <w:szCs w:val="22"/>
        </w:rPr>
      </w:pPr>
      <w:r w:rsidRPr="0031061D">
        <w:rPr>
          <w:rFonts w:ascii="Times New Roman" w:hAnsi="Times New Roman" w:cs="Times New Roman"/>
          <w:b/>
          <w:sz w:val="22"/>
          <w:szCs w:val="22"/>
        </w:rPr>
        <w:t xml:space="preserve">Special testing requirements:  </w:t>
      </w:r>
    </w:p>
    <w:p w:rsidR="00204E6A" w:rsidRPr="00E25E95" w:rsidP="00204E6A">
      <w:pPr>
        <w:pStyle w:val="BodyText2"/>
        <w:numPr>
          <w:ilvl w:val="4"/>
          <w:numId w:val="3"/>
        </w:numPr>
        <w:spacing w:after="120" w:line="360" w:lineRule="auto"/>
        <w:ind w:left="2250" w:hanging="900"/>
        <w:contextualSpacing/>
        <w:jc w:val="left"/>
        <w:rPr>
          <w:rFonts w:ascii="Times New Roman" w:hAnsi="Times New Roman" w:cs="Times New Roman"/>
          <w:sz w:val="22"/>
          <w:szCs w:val="22"/>
        </w:rPr>
      </w:pPr>
      <w:bookmarkStart w:id="0" w:name="_Hlk188446823"/>
      <w:r w:rsidRPr="00E25E95">
        <w:rPr>
          <w:rFonts w:ascii="Times New Roman" w:hAnsi="Times New Roman" w:cs="Times New Roman"/>
          <w:sz w:val="22"/>
          <w:szCs w:val="22"/>
        </w:rPr>
        <w:t>HIV Methodology shall be 4</w:t>
      </w:r>
      <w:r w:rsidRPr="00E25E95">
        <w:rPr>
          <w:rFonts w:ascii="Times New Roman" w:hAnsi="Times New Roman" w:cs="Times New Roman"/>
          <w:sz w:val="22"/>
          <w:szCs w:val="22"/>
          <w:vertAlign w:val="superscript"/>
        </w:rPr>
        <w:t>th</w:t>
      </w:r>
      <w:r w:rsidRPr="00E25E95">
        <w:rPr>
          <w:rFonts w:ascii="Times New Roman" w:hAnsi="Times New Roman" w:cs="Times New Roman"/>
          <w:sz w:val="22"/>
          <w:szCs w:val="22"/>
        </w:rPr>
        <w:t xml:space="preserve"> generation or higher to meet the CDC requirement for HIV testing. </w:t>
      </w:r>
    </w:p>
    <w:p w:rsidR="00204E6A" w:rsidRPr="00E25E95" w:rsidP="00204E6A">
      <w:pPr>
        <w:pStyle w:val="BodyText2"/>
        <w:numPr>
          <w:ilvl w:val="4"/>
          <w:numId w:val="3"/>
        </w:numPr>
        <w:spacing w:after="120" w:line="360" w:lineRule="auto"/>
        <w:ind w:left="2250" w:hanging="900"/>
        <w:contextualSpacing/>
        <w:jc w:val="left"/>
        <w:rPr>
          <w:rFonts w:ascii="Times New Roman" w:hAnsi="Times New Roman" w:cs="Times New Roman"/>
          <w:sz w:val="22"/>
          <w:szCs w:val="22"/>
        </w:rPr>
      </w:pPr>
      <w:r w:rsidRPr="00E25E95">
        <w:rPr>
          <w:rFonts w:ascii="Times New Roman" w:hAnsi="Times New Roman" w:cs="Times New Roman"/>
          <w:sz w:val="22"/>
          <w:szCs w:val="22"/>
        </w:rPr>
        <w:t xml:space="preserve">Rapid testing for cardiac marker </w:t>
      </w:r>
      <w:r>
        <w:rPr>
          <w:rFonts w:ascii="Times New Roman" w:hAnsi="Times New Roman" w:cs="Times New Roman"/>
          <w:sz w:val="22"/>
          <w:szCs w:val="22"/>
        </w:rPr>
        <w:t xml:space="preserve">High Sensitive </w:t>
      </w:r>
      <w:r w:rsidRPr="00E25E95">
        <w:rPr>
          <w:rFonts w:ascii="Times New Roman" w:hAnsi="Times New Roman" w:cs="Times New Roman"/>
          <w:sz w:val="22"/>
          <w:szCs w:val="22"/>
        </w:rPr>
        <w:t>Troponin</w:t>
      </w:r>
      <w:r>
        <w:rPr>
          <w:rFonts w:ascii="Times New Roman" w:hAnsi="Times New Roman" w:cs="Times New Roman"/>
          <w:sz w:val="22"/>
          <w:szCs w:val="22"/>
        </w:rPr>
        <w:t xml:space="preserve"> T</w:t>
      </w:r>
      <w:r w:rsidRPr="00E25E95">
        <w:rPr>
          <w:rFonts w:ascii="Times New Roman" w:hAnsi="Times New Roman" w:cs="Times New Roman"/>
          <w:sz w:val="22"/>
          <w:szCs w:val="22"/>
        </w:rPr>
        <w:t xml:space="preserve">, </w:t>
      </w:r>
      <w:r>
        <w:rPr>
          <w:rFonts w:ascii="Times New Roman" w:hAnsi="Times New Roman" w:cs="Times New Roman"/>
          <w:sz w:val="22"/>
          <w:szCs w:val="22"/>
        </w:rPr>
        <w:t>10</w:t>
      </w:r>
      <w:r w:rsidRPr="00E25E95">
        <w:rPr>
          <w:rFonts w:ascii="Times New Roman" w:hAnsi="Times New Roman" w:cs="Times New Roman"/>
          <w:sz w:val="22"/>
          <w:szCs w:val="22"/>
        </w:rPr>
        <w:t xml:space="preserve"> minutes or less.  </w:t>
      </w:r>
    </w:p>
    <w:p w:rsidR="00204E6A" w:rsidRPr="00E25E95" w:rsidP="00204E6A">
      <w:pPr>
        <w:pStyle w:val="BodyText2"/>
        <w:numPr>
          <w:ilvl w:val="4"/>
          <w:numId w:val="3"/>
        </w:numPr>
        <w:spacing w:after="120" w:line="360" w:lineRule="auto"/>
        <w:ind w:left="2250" w:hanging="900"/>
        <w:contextualSpacing/>
        <w:jc w:val="left"/>
        <w:rPr>
          <w:rFonts w:ascii="Times New Roman" w:hAnsi="Times New Roman" w:cs="Times New Roman"/>
          <w:sz w:val="22"/>
          <w:szCs w:val="22"/>
        </w:rPr>
      </w:pPr>
      <w:r w:rsidRPr="00E25E95">
        <w:rPr>
          <w:rFonts w:ascii="Times New Roman" w:hAnsi="Times New Roman" w:cs="Times New Roman"/>
          <w:sz w:val="22"/>
          <w:szCs w:val="22"/>
        </w:rPr>
        <w:t>IDMS traceable Creatinine Reagent is available.</w:t>
      </w:r>
    </w:p>
    <w:p w:rsidR="00204E6A" w:rsidRPr="00E25E95" w:rsidP="00204E6A">
      <w:pPr>
        <w:pStyle w:val="BodyText2"/>
        <w:numPr>
          <w:ilvl w:val="4"/>
          <w:numId w:val="3"/>
        </w:numPr>
        <w:spacing w:after="120" w:line="360" w:lineRule="auto"/>
        <w:ind w:left="2250" w:hanging="900"/>
        <w:contextualSpacing/>
        <w:jc w:val="left"/>
        <w:rPr>
          <w:rFonts w:ascii="Times New Roman" w:hAnsi="Times New Roman" w:cs="Times New Roman"/>
          <w:sz w:val="22"/>
          <w:szCs w:val="22"/>
        </w:rPr>
      </w:pPr>
      <w:r>
        <w:rPr>
          <w:rFonts w:ascii="Times New Roman" w:hAnsi="Times New Roman" w:cs="Times New Roman"/>
          <w:sz w:val="22"/>
          <w:szCs w:val="22"/>
        </w:rPr>
        <w:t>Rapid testing for intraoperative PTH.  10 minute or less.</w:t>
      </w:r>
    </w:p>
    <w:p w:rsidR="00204E6A" w:rsidRPr="0031061D" w:rsidP="00204E6A">
      <w:pPr>
        <w:pStyle w:val="BodyText2"/>
        <w:spacing w:after="120" w:line="360" w:lineRule="auto"/>
        <w:contextualSpacing/>
        <w:jc w:val="left"/>
        <w:rPr>
          <w:sz w:val="22"/>
          <w:szCs w:val="22"/>
        </w:rPr>
      </w:pPr>
      <w:bookmarkEnd w:id="0"/>
      <w:r w:rsidRPr="0031061D">
        <w:rPr>
          <w:rFonts w:ascii="Times New Roman" w:hAnsi="Times New Roman" w:cs="Times New Roman"/>
          <w:sz w:val="22"/>
          <w:szCs w:val="22"/>
        </w:rPr>
        <w:t xml:space="preserve"> </w:t>
      </w:r>
      <w:r w:rsidRPr="0031061D">
        <w:rPr>
          <w:b/>
          <w:sz w:val="22"/>
          <w:szCs w:val="22"/>
        </w:rPr>
        <w:t xml:space="preserve"> GENERAL REQUIREMENTS:</w:t>
      </w:r>
    </w:p>
    <w:p w:rsidR="00204E6A" w:rsidRPr="0031061D" w:rsidP="00204E6A">
      <w:pPr>
        <w:pStyle w:val="BodyText2"/>
        <w:numPr>
          <w:ilvl w:val="3"/>
          <w:numId w:val="3"/>
        </w:numPr>
        <w:spacing w:after="120" w:line="360" w:lineRule="auto"/>
        <w:ind w:left="1800" w:hanging="72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Primary analyzer(s) – Base equipment offered shall be new and shall fully support the scope of operations (minimal requirements). Depending upon the technical functionality and the capabilities of the individual manufacturer’s instrumentation, one analyzer or multiple analyzers may be required to meet the productivity specifications defined herein. Analyzers offered per facility shall provide sufficient capacity and throughput to meet the volume and service demands as defined in Attachment D.1. In those instances, the additional analyzer(s) shall, likewise, be considered primary instrumentation and shall meet all of the technical specifications </w:t>
      </w:r>
      <w:r w:rsidRPr="0031061D">
        <w:rPr>
          <w:rFonts w:ascii="Times New Roman" w:hAnsi="Times New Roman" w:cs="Times New Roman"/>
          <w:sz w:val="22"/>
          <w:szCs w:val="22"/>
        </w:rPr>
        <w:t>of this solicitation.  Those additional analyzer(s) offered meeting the definition of a primary analyzer may serve as a back-up analyzer (see definition below) and shall replace the requirement for offering that category of equipment.</w:t>
      </w:r>
    </w:p>
    <w:p w:rsidR="00204E6A" w:rsidRPr="0031061D" w:rsidP="00204E6A">
      <w:pPr>
        <w:pStyle w:val="BodyText2"/>
        <w:numPr>
          <w:ilvl w:val="3"/>
          <w:numId w:val="3"/>
        </w:numPr>
        <w:spacing w:after="120" w:line="360" w:lineRule="auto"/>
        <w:ind w:left="1800" w:hanging="720"/>
        <w:contextualSpacing/>
        <w:jc w:val="left"/>
        <w:rPr>
          <w:rFonts w:ascii="Times New Roman" w:hAnsi="Times New Roman" w:cs="Times New Roman"/>
          <w:sz w:val="22"/>
          <w:szCs w:val="22"/>
        </w:rPr>
      </w:pPr>
      <w:r w:rsidRPr="0031061D">
        <w:rPr>
          <w:rFonts w:ascii="Times New Roman" w:hAnsi="Times New Roman" w:cs="Times New Roman"/>
          <w:sz w:val="22"/>
          <w:szCs w:val="22"/>
        </w:rPr>
        <w:t>Back-up Analyzer; equipment required in support of operations for the VA laboratories in the event the primary analyzer(s) becomes non-operational/non-functional.  In the instance that the mirror imaged analyzers become unavailable the back-up analyzer will be used. As such, the requirements for consumable supplies, i.e. reagents, quality control material, calibrators, etc., shall be minimal and corollary to the successful operation of the primary instrumentation.  Specific tests that require back-up performance are listed in Attachment D.1. Additional primary analyzers required for the performance of daily workload are not considered back-ups for the purposes of consumables, reagents, etc.</w:t>
      </w:r>
    </w:p>
    <w:p w:rsidR="00204E6A" w:rsidRPr="0031061D" w:rsidP="00204E6A">
      <w:pPr>
        <w:pStyle w:val="BodyText2"/>
        <w:numPr>
          <w:ilvl w:val="3"/>
          <w:numId w:val="3"/>
        </w:numPr>
        <w:spacing w:after="120" w:line="360" w:lineRule="auto"/>
        <w:ind w:left="1800" w:hanging="720"/>
        <w:contextualSpacing/>
        <w:jc w:val="left"/>
        <w:rPr>
          <w:rFonts w:ascii="Times New Roman" w:hAnsi="Times New Roman" w:cs="Times New Roman"/>
          <w:sz w:val="22"/>
          <w:szCs w:val="22"/>
        </w:rPr>
      </w:pPr>
      <w:r w:rsidRPr="0031061D">
        <w:rPr>
          <w:rFonts w:ascii="Times New Roman" w:hAnsi="Times New Roman" w:cs="Times New Roman"/>
          <w:sz w:val="22"/>
          <w:szCs w:val="22"/>
        </w:rPr>
        <w:t>Installation  Contractor will provide an alternate site for validation of the instrumentation if space is not available for side-by-side validation with existing instrumentation.  Contractor will perform, at their cost, new validation studies as defined by the customer when instrumentation is installed in the final workspace.</w:t>
      </w:r>
    </w:p>
    <w:p w:rsidR="00204E6A" w:rsidRPr="0031061D" w:rsidP="00204E6A">
      <w:pPr>
        <w:pStyle w:val="ListParagraph"/>
        <w:numPr>
          <w:ilvl w:val="2"/>
          <w:numId w:val="3"/>
        </w:numPr>
        <w:spacing w:after="120" w:line="360" w:lineRule="auto"/>
        <w:rPr>
          <w:sz w:val="22"/>
          <w:szCs w:val="22"/>
        </w:rPr>
      </w:pPr>
      <w:r w:rsidRPr="0031061D">
        <w:rPr>
          <w:b/>
          <w:sz w:val="22"/>
          <w:szCs w:val="22"/>
        </w:rPr>
        <w:t xml:space="preserve">Operational and Technical Features- </w:t>
      </w:r>
      <w:r w:rsidRPr="0031061D">
        <w:rPr>
          <w:sz w:val="22"/>
          <w:szCs w:val="22"/>
        </w:rPr>
        <w:t xml:space="preserve">The instrumentation offered shall be approved by the Food and Drug Administration (FDA) and Contractor’s FSS Contract at the time of proposal submission and have the following: </w:t>
      </w:r>
    </w:p>
    <w:p w:rsidR="00204E6A" w:rsidRPr="0031061D" w:rsidP="00204E6A">
      <w:pPr>
        <w:pStyle w:val="ListParagraph"/>
        <w:numPr>
          <w:ilvl w:val="3"/>
          <w:numId w:val="3"/>
        </w:numPr>
        <w:spacing w:after="120" w:line="360" w:lineRule="auto"/>
        <w:rPr>
          <w:sz w:val="22"/>
          <w:szCs w:val="22"/>
        </w:rPr>
      </w:pPr>
      <w:r w:rsidRPr="0031061D">
        <w:rPr>
          <w:b/>
          <w:sz w:val="22"/>
          <w:szCs w:val="22"/>
        </w:rPr>
        <w:t>Primary Processing Automation Line Instrumentation</w:t>
      </w:r>
      <w:r w:rsidRPr="0031061D">
        <w:rPr>
          <w:sz w:val="22"/>
          <w:szCs w:val="22"/>
        </w:rPr>
        <w:t xml:space="preserve">. Offering for an Integrated Clinical Laboratory Chemistry/Immunochemistry Instrumentation and Robotics System (Automated track or line) in accordance with the requirements of each respective laboratory, as listed </w:t>
      </w:r>
      <w:r w:rsidRPr="00997EE9">
        <w:rPr>
          <w:sz w:val="22"/>
          <w:szCs w:val="22"/>
        </w:rPr>
        <w:t>in Attachment D.2, shall</w:t>
      </w:r>
      <w:r w:rsidRPr="0031061D">
        <w:rPr>
          <w:sz w:val="22"/>
          <w:szCs w:val="22"/>
        </w:rPr>
        <w:t xml:space="preserve"> have the following</w:t>
      </w:r>
      <w:r>
        <w:rPr>
          <w:sz w:val="22"/>
          <w:szCs w:val="22"/>
        </w:rPr>
        <w:t xml:space="preserve"> listed below. Please include a clear description regarding how samples are transported on the rack.</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Sufficient capacity and throughput to meet the volume and service demands as defined in Attachment D.1. </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Includes a specimen management system to manage and track sample progress and position.</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Specimen archival through mapping </w:t>
      </w:r>
      <w:r>
        <w:rPr>
          <w:rFonts w:ascii="Times New Roman" w:hAnsi="Times New Roman" w:cs="Times New Roman"/>
          <w:sz w:val="22"/>
          <w:szCs w:val="22"/>
        </w:rPr>
        <w:t>of specimen location</w:t>
      </w:r>
      <w:r w:rsidRPr="0031061D">
        <w:rPr>
          <w:rFonts w:ascii="Times New Roman" w:hAnsi="Times New Roman" w:cs="Times New Roman"/>
          <w:sz w:val="22"/>
          <w:szCs w:val="22"/>
        </w:rPr>
        <w:t>; for easy retrieval once moved off-line. (Specimen Management System).</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based on test requests, to sort and route specimens. (Line/track system/ Specimen Management System)</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send the primary tube or processed aliquots by means of a tracking system to the proper testing instrumentation to maximize efficiency and to maintain and standardize turnaround times of results. (Line/track system/ Specimen Management System)</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Minimal operator intervention to introduce STAT specimens or to change a routine specimen priorities.      </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detect processing errors and provide error notification. (Specimen Management System)</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separate the serum/plasma from the blood cells through the process of centrifugation.  (Centrifuge)</w:t>
      </w:r>
    </w:p>
    <w:p w:rsidR="00204E6A" w:rsidRPr="0031061D" w:rsidP="00204E6A">
      <w:pPr>
        <w:pStyle w:val="BodyText2"/>
        <w:numPr>
          <w:ilvl w:val="4"/>
          <w:numId w:val="3"/>
        </w:numPr>
        <w:spacing w:after="120" w:line="360" w:lineRule="auto"/>
        <w:ind w:left="2340" w:hanging="990"/>
        <w:contextualSpacing/>
        <w:jc w:val="left"/>
        <w:rPr>
          <w:rFonts w:ascii="Times New Roman" w:hAnsi="Times New Roman" w:cs="Times New Roman"/>
          <w:sz w:val="22"/>
          <w:szCs w:val="22"/>
        </w:rPr>
      </w:pPr>
      <w:r w:rsidRPr="0031061D">
        <w:rPr>
          <w:rFonts w:ascii="Times New Roman" w:hAnsi="Times New Roman" w:cs="Times New Roman"/>
          <w:sz w:val="22"/>
          <w:szCs w:val="22"/>
        </w:rPr>
        <w:t>Ability to detect short samples and clots (Aliquotter)</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remove caps from blood collection tubes.  (Decapper)</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recap and/or reseal - tubes. (Recapper)</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remove an aliquot of serum/plasma using disposable pipette tips to prevent contamination and move into another specimen tube or cup for analysis. (Aliquotter)</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The ability to print bar code labels and label daughter (aliquot) tubes to maintain positive specimen identification. </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The ability to connect all primary and back-up testing analyzers offered in accordance with </w:t>
      </w:r>
      <w:r w:rsidRPr="00997EE9">
        <w:rPr>
          <w:rFonts w:ascii="Times New Roman" w:hAnsi="Times New Roman" w:cs="Times New Roman"/>
          <w:sz w:val="22"/>
          <w:szCs w:val="22"/>
        </w:rPr>
        <w:t>Attachment D.2</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Ensure immediate availability of primary tube after </w:t>
      </w:r>
      <w:r>
        <w:rPr>
          <w:rFonts w:ascii="Times New Roman" w:hAnsi="Times New Roman" w:cs="Times New Roman"/>
          <w:sz w:val="22"/>
          <w:szCs w:val="22"/>
        </w:rPr>
        <w:t>initial testing is completed.</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The ability to auto-archive, store and retrieve specimens</w:t>
      </w:r>
      <w:r>
        <w:rPr>
          <w:rFonts w:ascii="Times New Roman" w:hAnsi="Times New Roman" w:cs="Times New Roman"/>
          <w:sz w:val="22"/>
          <w:szCs w:val="22"/>
        </w:rPr>
        <w:t>.</w:t>
      </w:r>
      <w:r w:rsidRPr="0031061D">
        <w:rPr>
          <w:rFonts w:ascii="Times New Roman" w:hAnsi="Times New Roman" w:cs="Times New Roman"/>
          <w:sz w:val="22"/>
          <w:szCs w:val="22"/>
        </w:rPr>
        <w:t xml:space="preserve"> Capacity to be determined by </w:t>
      </w:r>
      <w:r w:rsidRPr="00997EE9">
        <w:rPr>
          <w:rFonts w:ascii="Times New Roman" w:hAnsi="Times New Roman" w:cs="Times New Roman"/>
          <w:sz w:val="22"/>
          <w:szCs w:val="22"/>
        </w:rPr>
        <w:t>Attachment D.2.</w:t>
      </w:r>
      <w:r w:rsidRPr="0031061D">
        <w:rPr>
          <w:rFonts w:ascii="Times New Roman" w:hAnsi="Times New Roman" w:cs="Times New Roman"/>
          <w:sz w:val="22"/>
          <w:szCs w:val="22"/>
        </w:rPr>
        <w:t xml:space="preserve">                                </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Barcode reader stations must have the following capabilities:    </w:t>
      </w:r>
    </w:p>
    <w:p w:rsidR="00204E6A" w:rsidRPr="0031061D" w:rsidP="00204E6A">
      <w:pPr>
        <w:pStyle w:val="ListParagraph"/>
        <w:numPr>
          <w:ilvl w:val="5"/>
          <w:numId w:val="3"/>
        </w:numPr>
        <w:spacing w:after="120" w:line="360" w:lineRule="auto"/>
        <w:ind w:left="3060" w:hanging="1260"/>
        <w:rPr>
          <w:sz w:val="22"/>
          <w:szCs w:val="22"/>
        </w:rPr>
      </w:pPr>
      <w:r w:rsidRPr="0031061D">
        <w:rPr>
          <w:sz w:val="22"/>
          <w:szCs w:val="22"/>
        </w:rPr>
        <w:t xml:space="preserve">The accuracy of the barcode reading must have less than a 1.0 % failure rate. </w:t>
      </w:r>
    </w:p>
    <w:p w:rsidR="00204E6A" w:rsidRPr="0031061D" w:rsidP="00204E6A">
      <w:pPr>
        <w:pStyle w:val="ListParagraph"/>
        <w:numPr>
          <w:ilvl w:val="5"/>
          <w:numId w:val="3"/>
        </w:numPr>
        <w:spacing w:after="120" w:line="360" w:lineRule="auto"/>
        <w:ind w:left="3060" w:hanging="1260"/>
        <w:rPr>
          <w:sz w:val="22"/>
          <w:szCs w:val="22"/>
        </w:rPr>
      </w:pPr>
      <w:r w:rsidRPr="0031061D">
        <w:rPr>
          <w:sz w:val="22"/>
          <w:szCs w:val="22"/>
        </w:rPr>
        <w:t xml:space="preserve">Equipment must be able to support multiple barcode formats (Code 39, Code 128) that may be enabled concurrently. </w:t>
      </w:r>
    </w:p>
    <w:p w:rsidR="00204E6A" w:rsidRPr="0031061D" w:rsidP="00204E6A">
      <w:pPr>
        <w:pStyle w:val="ListParagraph"/>
        <w:numPr>
          <w:ilvl w:val="5"/>
          <w:numId w:val="3"/>
        </w:numPr>
        <w:spacing w:after="120" w:line="360" w:lineRule="auto"/>
        <w:ind w:left="3060" w:hanging="1260"/>
        <w:rPr>
          <w:sz w:val="22"/>
          <w:szCs w:val="22"/>
        </w:rPr>
      </w:pPr>
      <w:r w:rsidRPr="0031061D">
        <w:rPr>
          <w:sz w:val="22"/>
          <w:szCs w:val="22"/>
        </w:rPr>
        <w:t>Equipment must accept, at a minimum, 10 characters in specimen identifier that is alpha, numeric, and/or alphanumeric concurrently.</w:t>
      </w:r>
    </w:p>
    <w:p w:rsidR="00204E6A" w:rsidRPr="0031061D" w:rsidP="00204E6A">
      <w:pPr>
        <w:pStyle w:val="ListParagraph"/>
        <w:numPr>
          <w:ilvl w:val="3"/>
          <w:numId w:val="3"/>
        </w:numPr>
        <w:spacing w:after="120" w:line="360" w:lineRule="auto"/>
        <w:rPr>
          <w:sz w:val="22"/>
          <w:szCs w:val="22"/>
        </w:rPr>
      </w:pPr>
      <w:r w:rsidRPr="0031061D">
        <w:rPr>
          <w:b/>
          <w:sz w:val="22"/>
          <w:szCs w:val="22"/>
        </w:rPr>
        <w:t xml:space="preserve">Testing Instrumentation </w:t>
      </w:r>
      <w:r w:rsidRPr="0031061D">
        <w:rPr>
          <w:sz w:val="22"/>
          <w:szCs w:val="22"/>
        </w:rPr>
        <w:t xml:space="preserve">The testing instrumentation must be an integrated platform with flexible, components that can be upgraded and or reconfigured on site </w:t>
      </w:r>
      <w:r w:rsidRPr="0031061D">
        <w:rPr>
          <w:sz w:val="22"/>
          <w:szCs w:val="22"/>
        </w:rPr>
        <w:t>and is approved by the Food and Drug Administration (FDA) and on Contractors’ FSS Contract at the time of proposal submission and shall have the following:</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The capability of performing analysis on 100% of the tests listed in Attachment D.1. </w:t>
      </w:r>
      <w:r>
        <w:rPr>
          <w:rFonts w:ascii="Times New Roman" w:hAnsi="Times New Roman" w:cs="Times New Roman"/>
          <w:sz w:val="22"/>
          <w:szCs w:val="22"/>
        </w:rPr>
        <w:t>with no more than 10% repeats of CPRR.</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 xml:space="preserve">Sufficient capacity and throughput to meet the volume and service demands as defined in Attachment D.1. </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An instrument management system (internal to testing instrumentation) that provides/maintains the following:</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Ability to monitor instrument performance.</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Continuous monitoring of vital functions with immediate operator notification of failure(s) and on-board storage of these records.</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Capability to detect and alert operator of out of range quality control results via flagged results on QC printout and visual alerts on display monitor.</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 xml:space="preserve">Ability to store and retransmit patient records to the VA Laboratory Information system for a minimum 48 hours in case of interface outage. </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Capability to record, store and print the following information:</w:t>
      </w:r>
    </w:p>
    <w:p w:rsidR="00204E6A" w:rsidRPr="0031061D" w:rsidP="00204E6A">
      <w:pPr>
        <w:pStyle w:val="ListParagraph"/>
        <w:numPr>
          <w:ilvl w:val="6"/>
          <w:numId w:val="3"/>
        </w:numPr>
        <w:spacing w:after="120" w:line="360" w:lineRule="auto"/>
        <w:rPr>
          <w:sz w:val="22"/>
          <w:szCs w:val="22"/>
        </w:rPr>
      </w:pPr>
      <w:r w:rsidRPr="0031061D">
        <w:rPr>
          <w:sz w:val="22"/>
          <w:szCs w:val="22"/>
        </w:rPr>
        <w:t>Required quality control and instrument maintenance information.</w:t>
      </w:r>
    </w:p>
    <w:p w:rsidR="00204E6A" w:rsidRPr="0031061D" w:rsidP="00204E6A">
      <w:pPr>
        <w:pStyle w:val="ListParagraph"/>
        <w:numPr>
          <w:ilvl w:val="6"/>
          <w:numId w:val="3"/>
        </w:numPr>
        <w:spacing w:after="120" w:line="360" w:lineRule="auto"/>
        <w:rPr>
          <w:sz w:val="22"/>
          <w:szCs w:val="22"/>
        </w:rPr>
      </w:pPr>
      <w:r w:rsidRPr="0031061D">
        <w:rPr>
          <w:sz w:val="22"/>
          <w:szCs w:val="22"/>
        </w:rPr>
        <w:t>Patient demographic information and specimen results.</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 xml:space="preserve">On board reagent inventory system. </w:t>
      </w:r>
    </w:p>
    <w:p w:rsidR="00204E6A" w:rsidRPr="0031061D" w:rsidP="00204E6A">
      <w:pPr>
        <w:pStyle w:val="BodyText2"/>
        <w:numPr>
          <w:ilvl w:val="4"/>
          <w:numId w:val="3"/>
        </w:numPr>
        <w:spacing w:after="120" w:line="360" w:lineRule="auto"/>
        <w:ind w:left="2430" w:hanging="1080"/>
        <w:contextualSpacing/>
        <w:jc w:val="left"/>
        <w:rPr>
          <w:rFonts w:ascii="Times New Roman" w:hAnsi="Times New Roman" w:cs="Times New Roman"/>
          <w:sz w:val="22"/>
          <w:szCs w:val="22"/>
        </w:rPr>
      </w:pPr>
      <w:r w:rsidRPr="0031061D">
        <w:rPr>
          <w:rFonts w:ascii="Times New Roman" w:hAnsi="Times New Roman" w:cs="Times New Roman"/>
          <w:sz w:val="22"/>
          <w:szCs w:val="22"/>
        </w:rPr>
        <w:t>A bi-directional, bar-coded computer interface compatible with the current VA laboratory information system. The fully operational interface (both hardware and software) shall be immediately available for implementation to the VA computerized hospital information system.</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 xml:space="preserve">The accuracy of the barcode reading must have less than a 1.0 % failure rate.  </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 xml:space="preserve">Equipment must be able to support multiple barcode formats (Code 39, Code 128) that may be enabled concurrently. </w:t>
      </w:r>
    </w:p>
    <w:p w:rsidR="00204E6A" w:rsidRPr="0031061D" w:rsidP="00204E6A">
      <w:pPr>
        <w:pStyle w:val="ListParagraph"/>
        <w:numPr>
          <w:ilvl w:val="5"/>
          <w:numId w:val="3"/>
        </w:numPr>
        <w:spacing w:after="120" w:line="360" w:lineRule="auto"/>
        <w:ind w:left="2970" w:hanging="1170"/>
        <w:rPr>
          <w:sz w:val="22"/>
          <w:szCs w:val="22"/>
        </w:rPr>
      </w:pPr>
      <w:r w:rsidRPr="0031061D">
        <w:rPr>
          <w:sz w:val="22"/>
          <w:szCs w:val="22"/>
        </w:rPr>
        <w:t xml:space="preserve">Equipment must accept, at a minimum, </w:t>
      </w:r>
      <w:r w:rsidRPr="0031061D">
        <w:rPr>
          <w:sz w:val="22"/>
          <w:szCs w:val="22"/>
        </w:rPr>
        <w:fldChar w:fldCharType="begin"/>
      </w:r>
      <w:r w:rsidRPr="0031061D">
        <w:rPr>
          <w:sz w:val="22"/>
          <w:szCs w:val="22"/>
        </w:rPr>
        <w:instrText xml:space="preserve"> DOCVARIABLE  var22  \* MERGEFORMAT </w:instrText>
      </w:r>
      <w:r w:rsidRPr="0031061D">
        <w:rPr>
          <w:sz w:val="22"/>
          <w:szCs w:val="22"/>
        </w:rPr>
        <w:fldChar w:fldCharType="separate"/>
      </w:r>
      <w:r w:rsidRPr="0031061D">
        <w:rPr>
          <w:sz w:val="22"/>
          <w:szCs w:val="22"/>
        </w:rPr>
        <w:fldChar w:fldCharType="end"/>
      </w:r>
      <w:r w:rsidRPr="0031061D">
        <w:rPr>
          <w:sz w:val="22"/>
          <w:szCs w:val="22"/>
        </w:rPr>
        <w:t xml:space="preserve"> characters in specimen identifier that is </w:t>
      </w:r>
      <w:r>
        <w:t>alpha and/or numeric depending on site</w:t>
      </w:r>
      <w:r w:rsidRPr="0031061D">
        <w:rPr>
          <w:sz w:val="22"/>
          <w:szCs w:val="22"/>
        </w:rPr>
        <w:t xml:space="preserve"> that may be enabled concurrently.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Bar coding of reagents and the ability to track reagent containers throughout the testing process using bar code technology.  </w:t>
      </w:r>
    </w:p>
    <w:p w:rsidR="00204E6A" w:rsidRPr="0031061D" w:rsidP="00204E6A">
      <w:pPr>
        <w:pStyle w:val="ListParagraph"/>
        <w:numPr>
          <w:ilvl w:val="3"/>
          <w:numId w:val="3"/>
        </w:numPr>
        <w:spacing w:after="120" w:line="360" w:lineRule="auto"/>
        <w:rPr>
          <w:sz w:val="22"/>
          <w:szCs w:val="22"/>
        </w:rPr>
      </w:pPr>
      <w:r w:rsidRPr="0031061D">
        <w:rPr>
          <w:sz w:val="22"/>
          <w:szCs w:val="22"/>
        </w:rPr>
        <w:t>Ability to prioritize STAT testing without compromising existing programmed testing.</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Minimal operator intervention to introduce STAT specimens or to change a routine specimen to a STAT specimen, as well as introduce STAT specimens during a test run without aborting a run. </w:t>
      </w:r>
      <w:r>
        <w:rPr>
          <w:sz w:val="22"/>
          <w:szCs w:val="22"/>
        </w:rPr>
        <w:t>Vendor will outline STAT procedure.</w:t>
      </w:r>
    </w:p>
    <w:p w:rsidR="00204E6A" w:rsidRPr="00997EE9" w:rsidP="00204E6A">
      <w:pPr>
        <w:pStyle w:val="ListParagraph"/>
        <w:numPr>
          <w:ilvl w:val="3"/>
          <w:numId w:val="3"/>
        </w:numPr>
        <w:spacing w:after="120" w:line="360" w:lineRule="auto"/>
        <w:rPr>
          <w:sz w:val="22"/>
          <w:szCs w:val="22"/>
        </w:rPr>
      </w:pPr>
      <w:r w:rsidRPr="00997EE9">
        <w:rPr>
          <w:sz w:val="22"/>
          <w:szCs w:val="22"/>
        </w:rPr>
        <w:t>On board reagent stability, sufficient to accommodate both high and low volume use. See ATT D.1</w:t>
      </w:r>
    </w:p>
    <w:p w:rsidR="00204E6A" w:rsidRPr="0031061D" w:rsidP="00204E6A">
      <w:pPr>
        <w:pStyle w:val="ListParagraph"/>
        <w:numPr>
          <w:ilvl w:val="3"/>
          <w:numId w:val="3"/>
        </w:numPr>
        <w:spacing w:after="120" w:line="360" w:lineRule="auto"/>
        <w:rPr>
          <w:sz w:val="22"/>
          <w:szCs w:val="22"/>
        </w:rPr>
      </w:pPr>
      <w:r w:rsidRPr="0031061D">
        <w:rPr>
          <w:sz w:val="22"/>
          <w:szCs w:val="22"/>
        </w:rPr>
        <w:t>The ability to detect and alert operator of low reagent levels and the potential of depletion.</w:t>
      </w:r>
    </w:p>
    <w:p w:rsidR="00204E6A" w:rsidRPr="0031061D" w:rsidP="00204E6A">
      <w:pPr>
        <w:pStyle w:val="ListParagraph"/>
        <w:numPr>
          <w:ilvl w:val="3"/>
          <w:numId w:val="3"/>
        </w:numPr>
        <w:spacing w:after="120" w:line="360" w:lineRule="auto"/>
        <w:rPr>
          <w:sz w:val="22"/>
          <w:szCs w:val="22"/>
        </w:rPr>
      </w:pPr>
      <w:r w:rsidRPr="0031061D">
        <w:rPr>
          <w:sz w:val="22"/>
          <w:szCs w:val="22"/>
        </w:rPr>
        <w:t>The ability to load and unload all reagents from the equipment during operation without interrupting testing in progress or have sufficient capacity to enable a complete 24 hours of testing.</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ability to support multiple reagent lots of the same reagent on the equipment at the same time with active, valid calibrations. </w:t>
      </w:r>
    </w:p>
    <w:p w:rsidR="00204E6A" w:rsidRPr="0031061D" w:rsidP="00204E6A">
      <w:pPr>
        <w:pStyle w:val="ListParagraph"/>
        <w:numPr>
          <w:ilvl w:val="3"/>
          <w:numId w:val="3"/>
        </w:numPr>
        <w:spacing w:line="360" w:lineRule="auto"/>
        <w:rPr>
          <w:sz w:val="22"/>
          <w:szCs w:val="22"/>
        </w:rPr>
      </w:pPr>
      <w:r w:rsidRPr="0031061D">
        <w:rPr>
          <w:sz w:val="22"/>
          <w:szCs w:val="22"/>
        </w:rPr>
        <w:t xml:space="preserve">The ability to maintain multiple calibrations per analyte. </w:t>
      </w:r>
    </w:p>
    <w:p w:rsidR="00204E6A" w:rsidRPr="0031061D" w:rsidP="00204E6A">
      <w:pPr>
        <w:pStyle w:val="ListParagraph"/>
        <w:numPr>
          <w:ilvl w:val="3"/>
          <w:numId w:val="3"/>
        </w:numPr>
        <w:spacing w:line="360" w:lineRule="auto"/>
        <w:rPr>
          <w:sz w:val="22"/>
          <w:szCs w:val="22"/>
        </w:rPr>
      </w:pPr>
      <w:r w:rsidRPr="0031061D">
        <w:rPr>
          <w:sz w:val="22"/>
          <w:szCs w:val="22"/>
        </w:rPr>
        <w:t xml:space="preserve">The capability to calibrate assays during test run without aborting the run. </w:t>
      </w:r>
    </w:p>
    <w:p w:rsidR="00204E6A" w:rsidRPr="0031061D" w:rsidP="00204E6A">
      <w:pPr>
        <w:pStyle w:val="ListParagraph"/>
        <w:numPr>
          <w:ilvl w:val="3"/>
          <w:numId w:val="3"/>
        </w:numPr>
        <w:spacing w:line="360" w:lineRule="auto"/>
        <w:rPr>
          <w:sz w:val="22"/>
          <w:szCs w:val="22"/>
        </w:rPr>
      </w:pPr>
      <w:r w:rsidRPr="0031061D">
        <w:rPr>
          <w:sz w:val="22"/>
          <w:szCs w:val="22"/>
        </w:rPr>
        <w:t>The capabilities to store, print, and retrieve calibration data.</w:t>
      </w:r>
    </w:p>
    <w:p w:rsidR="00204E6A" w:rsidRPr="0031061D" w:rsidP="00204E6A">
      <w:pPr>
        <w:pStyle w:val="ListParagraph"/>
        <w:numPr>
          <w:ilvl w:val="3"/>
          <w:numId w:val="3"/>
        </w:numPr>
        <w:spacing w:line="360" w:lineRule="auto"/>
        <w:rPr>
          <w:sz w:val="22"/>
          <w:szCs w:val="22"/>
        </w:rPr>
      </w:pPr>
      <w:r w:rsidRPr="0031061D">
        <w:rPr>
          <w:sz w:val="22"/>
          <w:szCs w:val="22"/>
        </w:rPr>
        <w:t xml:space="preserve">For routine (general) chemistry tests, when more than one lot of a given reagent has a valid calibration and quality control material is programmed to run as a control (in the control mode): </w:t>
      </w:r>
    </w:p>
    <w:p w:rsidR="00204E6A" w:rsidRPr="0031061D" w:rsidP="00204E6A">
      <w:pPr>
        <w:pStyle w:val="MyriadPro1015"/>
        <w:numPr>
          <w:ilvl w:val="5"/>
          <w:numId w:val="3"/>
        </w:numPr>
      </w:pPr>
      <w:r w:rsidRPr="0031061D">
        <w:t xml:space="preserve">Operatory shall be notified if a new lot number is about to be run to ensure that quality control material is performed. </w:t>
      </w:r>
    </w:p>
    <w:p w:rsidR="00204E6A" w:rsidRPr="0031061D" w:rsidP="00204E6A">
      <w:pPr>
        <w:pStyle w:val="MyriadPro1015"/>
        <w:numPr>
          <w:ilvl w:val="5"/>
          <w:numId w:val="3"/>
        </w:numPr>
      </w:pPr>
      <w:r w:rsidRPr="0031061D">
        <w:t xml:space="preserve">Quality control results will be easily distinguishable i.e., identified by reagent lot number or similar mechanism, on instrument printout or display monitor. </w:t>
      </w:r>
    </w:p>
    <w:p w:rsidR="00204E6A" w:rsidRPr="0031061D" w:rsidP="00204E6A">
      <w:pPr>
        <w:pStyle w:val="MyriadPro1015"/>
        <w:numPr>
          <w:ilvl w:val="5"/>
          <w:numId w:val="3"/>
        </w:numPr>
      </w:pPr>
      <w:r w:rsidRPr="0031061D">
        <w:t>Operator may select to run a test on only a specified lot of reagent even though more than one lot has a valid calibration</w:t>
      </w:r>
    </w:p>
    <w:p w:rsidR="00204E6A" w:rsidRPr="0031061D" w:rsidP="00204E6A">
      <w:pPr>
        <w:pStyle w:val="ListParagraph"/>
        <w:numPr>
          <w:ilvl w:val="3"/>
          <w:numId w:val="3"/>
        </w:numPr>
        <w:spacing w:line="360" w:lineRule="auto"/>
        <w:rPr>
          <w:sz w:val="22"/>
          <w:szCs w:val="22"/>
        </w:rPr>
      </w:pPr>
      <w:r w:rsidRPr="0031061D">
        <w:rPr>
          <w:sz w:val="22"/>
          <w:szCs w:val="22"/>
        </w:rPr>
        <w:t>The ability to continuously load patient specimens.</w:t>
      </w:r>
    </w:p>
    <w:p w:rsidR="00204E6A" w:rsidP="00204E6A">
      <w:pPr>
        <w:pStyle w:val="ListParagraph"/>
        <w:numPr>
          <w:ilvl w:val="3"/>
          <w:numId w:val="3"/>
        </w:numPr>
        <w:rPr>
          <w:sz w:val="22"/>
          <w:szCs w:val="22"/>
        </w:rPr>
      </w:pPr>
      <w:r w:rsidRPr="0031061D">
        <w:rPr>
          <w:sz w:val="22"/>
          <w:szCs w:val="22"/>
        </w:rPr>
        <w:t>The ability to detect short samples and interfering indices i.e. hemolysis, lipemia, and icterus</w:t>
      </w:r>
      <w:r>
        <w:rPr>
          <w:sz w:val="22"/>
          <w:szCs w:val="22"/>
        </w:rPr>
        <w:t>, on all systems including Chemistry, Immunochemistry and pre-analytics.</w:t>
      </w:r>
    </w:p>
    <w:p w:rsidR="00204E6A" w:rsidRPr="0031061D" w:rsidP="00204E6A">
      <w:pPr>
        <w:pStyle w:val="ListParagraph"/>
        <w:ind w:left="1728"/>
        <w:rPr>
          <w:sz w:val="22"/>
          <w:szCs w:val="22"/>
        </w:rPr>
      </w:pPr>
    </w:p>
    <w:p w:rsidR="00204E6A" w:rsidP="00204E6A">
      <w:pPr>
        <w:pStyle w:val="ListParagraph"/>
        <w:numPr>
          <w:ilvl w:val="3"/>
          <w:numId w:val="3"/>
        </w:numPr>
        <w:rPr>
          <w:sz w:val="22"/>
          <w:szCs w:val="22"/>
        </w:rPr>
      </w:pPr>
      <w:r w:rsidRPr="0031061D">
        <w:rPr>
          <w:sz w:val="22"/>
          <w:szCs w:val="22"/>
        </w:rPr>
        <w:t>Clot detection with alert notification.</w:t>
      </w:r>
    </w:p>
    <w:p w:rsidR="00204E6A" w:rsidRPr="00DD7CD8" w:rsidP="00204E6A">
      <w:pPr>
        <w:rPr>
          <w:sz w:val="22"/>
          <w:szCs w:val="22"/>
        </w:rPr>
      </w:pPr>
    </w:p>
    <w:p w:rsidR="00204E6A" w:rsidP="00204E6A">
      <w:pPr>
        <w:pStyle w:val="ListParagraph"/>
        <w:numPr>
          <w:ilvl w:val="3"/>
          <w:numId w:val="3"/>
        </w:numPr>
        <w:rPr>
          <w:sz w:val="22"/>
          <w:szCs w:val="22"/>
        </w:rPr>
      </w:pPr>
      <w:r w:rsidRPr="0031061D">
        <w:rPr>
          <w:sz w:val="22"/>
          <w:szCs w:val="22"/>
        </w:rPr>
        <w:t xml:space="preserve">Primary tube sampling from various manufacturers and sizes of evacuated tubes.  </w:t>
      </w:r>
    </w:p>
    <w:p w:rsidR="00204E6A" w:rsidRPr="00790899" w:rsidP="00204E6A">
      <w:pPr>
        <w:rPr>
          <w:sz w:val="22"/>
          <w:szCs w:val="22"/>
        </w:rPr>
      </w:pPr>
    </w:p>
    <w:p w:rsidR="00204E6A" w:rsidP="00204E6A">
      <w:pPr>
        <w:pStyle w:val="ListParagraph"/>
        <w:numPr>
          <w:ilvl w:val="3"/>
          <w:numId w:val="3"/>
        </w:numPr>
        <w:rPr>
          <w:sz w:val="22"/>
          <w:szCs w:val="22"/>
        </w:rPr>
      </w:pPr>
      <w:r w:rsidRPr="0038014B">
        <w:rPr>
          <w:sz w:val="22"/>
          <w:szCs w:val="22"/>
        </w:rPr>
        <w:t>Automatically repeat testing when defined limits are exceeded via auto dilution or sample volume adjustment</w:t>
      </w:r>
      <w:r>
        <w:rPr>
          <w:sz w:val="22"/>
          <w:szCs w:val="22"/>
        </w:rPr>
        <w:t>.</w:t>
      </w:r>
    </w:p>
    <w:p w:rsidR="00204E6A" w:rsidRPr="0038014B" w:rsidP="00204E6A">
      <w:pPr>
        <w:pStyle w:val="ListParagraph"/>
        <w:rPr>
          <w:sz w:val="22"/>
          <w:szCs w:val="22"/>
        </w:rPr>
      </w:pPr>
    </w:p>
    <w:p w:rsidR="00204E6A" w:rsidRPr="0031061D" w:rsidP="00204E6A">
      <w:pPr>
        <w:pStyle w:val="ListParagraph"/>
        <w:numPr>
          <w:ilvl w:val="3"/>
          <w:numId w:val="3"/>
        </w:numPr>
        <w:spacing w:line="360" w:lineRule="auto"/>
        <w:rPr>
          <w:sz w:val="22"/>
          <w:szCs w:val="22"/>
        </w:rPr>
      </w:pPr>
      <w:r w:rsidRPr="0031061D">
        <w:rPr>
          <w:sz w:val="22"/>
          <w:szCs w:val="22"/>
        </w:rPr>
        <w:t xml:space="preserve">The capability to program a test as a repeat with interfacing of results to overlay initial result. </w:t>
      </w:r>
    </w:p>
    <w:p w:rsidR="00204E6A" w:rsidRPr="0031061D" w:rsidP="00204E6A">
      <w:pPr>
        <w:pStyle w:val="ListParagraph"/>
        <w:numPr>
          <w:ilvl w:val="3"/>
          <w:numId w:val="3"/>
        </w:numPr>
        <w:spacing w:line="360" w:lineRule="auto"/>
        <w:rPr>
          <w:sz w:val="22"/>
          <w:szCs w:val="22"/>
        </w:rPr>
      </w:pPr>
      <w:r w:rsidRPr="0031061D">
        <w:rPr>
          <w:sz w:val="22"/>
          <w:szCs w:val="22"/>
        </w:rPr>
        <w:t>Safety features to avoid unnecessary exposure to biohazardous and chemical material.  The exposure to and the volume of biohazardous and chemical material generated by the equipment must be minimal and require a minimum amount of handling.</w:t>
      </w:r>
    </w:p>
    <w:p w:rsidR="00204E6A" w:rsidRPr="0031061D" w:rsidP="00204E6A">
      <w:pPr>
        <w:pStyle w:val="ListParagraph"/>
        <w:numPr>
          <w:ilvl w:val="3"/>
          <w:numId w:val="3"/>
        </w:numPr>
        <w:spacing w:after="120" w:line="360" w:lineRule="auto"/>
        <w:rPr>
          <w:sz w:val="22"/>
          <w:szCs w:val="22"/>
        </w:rPr>
      </w:pPr>
      <w:r w:rsidRPr="0031061D">
        <w:rPr>
          <w:sz w:val="22"/>
          <w:szCs w:val="22"/>
        </w:rPr>
        <w:t>For those sites requiring back up analyzers, it is desirable for the backup analyzer to be a mirror image or have the same reagent requirement as the primary analyzer.</w:t>
      </w:r>
    </w:p>
    <w:p w:rsidR="00204E6A" w:rsidRPr="0031061D" w:rsidP="00204E6A">
      <w:pPr>
        <w:pStyle w:val="ListParagraph"/>
        <w:numPr>
          <w:ilvl w:val="4"/>
          <w:numId w:val="3"/>
        </w:numPr>
        <w:spacing w:after="120" w:line="360" w:lineRule="auto"/>
        <w:rPr>
          <w:sz w:val="22"/>
          <w:szCs w:val="22"/>
        </w:rPr>
      </w:pPr>
      <w:r w:rsidRPr="0031061D">
        <w:rPr>
          <w:sz w:val="22"/>
          <w:szCs w:val="22"/>
        </w:rPr>
        <w:t>Ability to store and retransmit records (48 hours of maximal instrument throughput) in case of interface outage.</w:t>
      </w:r>
    </w:p>
    <w:p w:rsidR="00204E6A" w:rsidRPr="0031061D" w:rsidP="00204E6A">
      <w:pPr>
        <w:pStyle w:val="ListParagraph"/>
        <w:spacing w:after="120" w:line="360" w:lineRule="auto"/>
        <w:ind w:left="1728"/>
        <w:rPr>
          <w:sz w:val="22"/>
          <w:szCs w:val="22"/>
        </w:rPr>
      </w:pPr>
      <w:r w:rsidRPr="0031061D">
        <w:rPr>
          <w:sz w:val="22"/>
          <w:szCs w:val="22"/>
        </w:rPr>
        <w:t xml:space="preserve"> </w:t>
      </w:r>
    </w:p>
    <w:p w:rsidR="00204E6A" w:rsidRPr="0031061D" w:rsidP="00204E6A">
      <w:pPr>
        <w:pStyle w:val="ListParagraph"/>
        <w:numPr>
          <w:ilvl w:val="3"/>
          <w:numId w:val="3"/>
        </w:numPr>
        <w:spacing w:after="120" w:line="360" w:lineRule="auto"/>
        <w:rPr>
          <w:sz w:val="22"/>
          <w:szCs w:val="22"/>
        </w:rPr>
      </w:pPr>
      <w:r w:rsidRPr="0031061D">
        <w:rPr>
          <w:sz w:val="22"/>
          <w:szCs w:val="22"/>
        </w:rPr>
        <w:t>Calibration stability adheres to manufacture’s specifications.</w:t>
      </w:r>
    </w:p>
    <w:p w:rsidR="00204E6A" w:rsidRPr="0031061D" w:rsidP="00204E6A">
      <w:pPr>
        <w:pStyle w:val="ListParagraph"/>
        <w:numPr>
          <w:ilvl w:val="3"/>
          <w:numId w:val="3"/>
        </w:numPr>
        <w:rPr>
          <w:sz w:val="22"/>
          <w:szCs w:val="22"/>
        </w:rPr>
      </w:pPr>
      <w:r w:rsidRPr="0031061D">
        <w:rPr>
          <w:sz w:val="22"/>
          <w:szCs w:val="22"/>
        </w:rPr>
        <w:t>User defined/Open Channel test capability.  In the event that the contractor cannot provide desired assays, the contractor will provide application development support for open channel test implementation.</w:t>
      </w:r>
    </w:p>
    <w:p w:rsidR="00204E6A" w:rsidRPr="0031061D" w:rsidP="00204E6A">
      <w:pPr>
        <w:pStyle w:val="ListParagraph"/>
        <w:ind w:left="1728"/>
        <w:rPr>
          <w:sz w:val="22"/>
          <w:szCs w:val="22"/>
        </w:rPr>
      </w:pPr>
      <w:r w:rsidRPr="0031061D">
        <w:rPr>
          <w:sz w:val="22"/>
          <w:szCs w:val="22"/>
        </w:rPr>
        <w:t xml:space="preserve">  </w:t>
      </w:r>
    </w:p>
    <w:p w:rsidR="00204E6A" w:rsidRPr="0031061D" w:rsidP="00204E6A">
      <w:pPr>
        <w:pStyle w:val="ListParagraph"/>
        <w:numPr>
          <w:ilvl w:val="2"/>
          <w:numId w:val="3"/>
        </w:numPr>
        <w:spacing w:after="120" w:line="360" w:lineRule="auto"/>
        <w:rPr>
          <w:sz w:val="22"/>
          <w:szCs w:val="22"/>
        </w:rPr>
      </w:pPr>
      <w:r w:rsidRPr="0031061D">
        <w:rPr>
          <w:b/>
          <w:sz w:val="22"/>
          <w:szCs w:val="22"/>
        </w:rPr>
        <w:t>Contractor Middleware Management System</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Contractor shall provide instrumentation and middleware that is compatible with </w:t>
      </w:r>
      <w:r w:rsidRPr="0031061D">
        <w:rPr>
          <w:sz w:val="22"/>
          <w:szCs w:val="22"/>
        </w:rPr>
        <w:t>VistA</w:t>
      </w:r>
      <w:r w:rsidRPr="0031061D">
        <w:rPr>
          <w:sz w:val="22"/>
          <w:szCs w:val="22"/>
        </w:rPr>
        <w:t xml:space="preserve"> or interfaces directly with Data Innovations Middleware.</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be able to communicate via HL7 messages version 1.5 or later.</w:t>
      </w:r>
    </w:p>
    <w:p w:rsidR="00204E6A" w:rsidRPr="0031061D" w:rsidP="00204E6A">
      <w:pPr>
        <w:pStyle w:val="ListParagraph"/>
        <w:numPr>
          <w:ilvl w:val="3"/>
          <w:numId w:val="3"/>
        </w:numPr>
        <w:spacing w:after="120" w:line="360" w:lineRule="auto"/>
        <w:rPr>
          <w:sz w:val="22"/>
          <w:szCs w:val="22"/>
        </w:rPr>
      </w:pPr>
      <w:r w:rsidRPr="0031061D">
        <w:rPr>
          <w:sz w:val="22"/>
          <w:szCs w:val="22"/>
        </w:rPr>
        <w:t>Middleware for clinical chemistry systems should be open for bidirectional interfacing of front end automation, reference laboratories, and laboratory /clinical information systems, third party middleware applications, and laboratory instrumentation, current and future generations, for all other vendors and/or laboratory sections at no additional cost.</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Contractor shall provide the server(s) and Data Innovations’ Instrument Manager Middleware software or other middleware that is compatible with </w:t>
      </w:r>
      <w:r w:rsidRPr="0031061D">
        <w:rPr>
          <w:sz w:val="22"/>
          <w:szCs w:val="22"/>
        </w:rPr>
        <w:t>VistA</w:t>
      </w:r>
      <w:r w:rsidRPr="0031061D">
        <w:rPr>
          <w:sz w:val="22"/>
          <w:szCs w:val="22"/>
        </w:rPr>
        <w:t>, and provide technical support for both the hardware and software for the duration of the contract.</w:t>
      </w:r>
    </w:p>
    <w:p w:rsidR="00204E6A" w:rsidRPr="0031061D" w:rsidP="00204E6A">
      <w:pPr>
        <w:pStyle w:val="ListParagraph"/>
        <w:numPr>
          <w:ilvl w:val="3"/>
          <w:numId w:val="3"/>
        </w:numPr>
        <w:spacing w:after="120" w:line="360" w:lineRule="auto"/>
        <w:rPr>
          <w:sz w:val="22"/>
          <w:szCs w:val="22"/>
        </w:rPr>
      </w:pPr>
      <w:r w:rsidRPr="0031061D">
        <w:rPr>
          <w:sz w:val="22"/>
          <w:szCs w:val="22"/>
        </w:rPr>
        <w:t>All driver development shall be provided by the respective vender, free-of-charge.</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should have the ability to interface with regulatory agency applications.</w:t>
      </w:r>
      <w:r>
        <w:rPr>
          <w:sz w:val="22"/>
          <w:szCs w:val="22"/>
        </w:rPr>
        <w:t xml:space="preserve"> i.e. CAP.</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assist in the provision of the appropriate software drivers and interfaces for effective use of automated regulatory agency reporting features.</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assist in the establishment, testing, deployment, and troubleshooting of the full capacity of the Middleware before implementation date.</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contain systems that facilitate the analysis of laboratory pre-analytic, analytic, and post-analytic processes and the generation of summary reports for quality improvement and monitoring efforts.</w:t>
      </w:r>
    </w:p>
    <w:p w:rsidR="00204E6A" w:rsidRPr="0031061D" w:rsidP="00204E6A">
      <w:pPr>
        <w:pStyle w:val="ListParagraph"/>
        <w:numPr>
          <w:ilvl w:val="3"/>
          <w:numId w:val="3"/>
        </w:numPr>
        <w:spacing w:after="120" w:line="360" w:lineRule="auto"/>
        <w:rPr>
          <w:sz w:val="22"/>
          <w:szCs w:val="22"/>
        </w:rPr>
      </w:pPr>
      <w:r w:rsidRPr="0031061D">
        <w:rPr>
          <w:sz w:val="22"/>
          <w:szCs w:val="22"/>
        </w:rPr>
        <w:t>Summary reports shall be interactive, customizable, and accessible on-demand.</w:t>
      </w:r>
    </w:p>
    <w:p w:rsidR="00204E6A" w:rsidRPr="0031061D" w:rsidP="00204E6A">
      <w:pPr>
        <w:pStyle w:val="ListParagraph"/>
        <w:numPr>
          <w:ilvl w:val="3"/>
          <w:numId w:val="3"/>
        </w:numPr>
        <w:spacing w:after="120" w:line="360" w:lineRule="auto"/>
        <w:rPr>
          <w:sz w:val="22"/>
          <w:szCs w:val="22"/>
        </w:rPr>
      </w:pPr>
      <w:r w:rsidRPr="0031061D">
        <w:rPr>
          <w:sz w:val="22"/>
          <w:szCs w:val="22"/>
        </w:rPr>
        <w:t>Reports shall have, at a minimum, the flexibility to display information organized by department, workflow unit, desired time frame, production phase and priority.  Software shall have the capability to drill down within the summary reports, identify problematic data and generate corrective action plans.</w:t>
      </w:r>
    </w:p>
    <w:p w:rsidR="00204E6A" w:rsidRPr="0031061D" w:rsidP="00204E6A">
      <w:pPr>
        <w:pStyle w:val="ListParagraph"/>
        <w:numPr>
          <w:ilvl w:val="3"/>
          <w:numId w:val="3"/>
        </w:numPr>
        <w:spacing w:after="120" w:line="360" w:lineRule="auto"/>
        <w:rPr>
          <w:sz w:val="22"/>
          <w:szCs w:val="22"/>
        </w:rPr>
      </w:pPr>
      <w:r w:rsidRPr="0031061D">
        <w:rPr>
          <w:sz w:val="22"/>
          <w:szCs w:val="22"/>
        </w:rPr>
        <w:t>Canned summary reports shall include, at a minimum: Turnaround time, specimen and test volumes, instrument quality control, specimen quality indicators, and % auto-verification, % (and number) repeat tests.</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include moving averages system. The Contractor shall establish, test, deploy and troubleshoot the functionality of the moving averages system.</w:t>
      </w:r>
    </w:p>
    <w:p w:rsidR="00204E6A" w:rsidRPr="0031061D" w:rsidP="00204E6A">
      <w:pPr>
        <w:pStyle w:val="ListParagraph"/>
        <w:numPr>
          <w:ilvl w:val="3"/>
          <w:numId w:val="3"/>
        </w:numPr>
        <w:spacing w:after="120" w:line="360" w:lineRule="auto"/>
        <w:rPr>
          <w:sz w:val="22"/>
          <w:szCs w:val="22"/>
        </w:rPr>
      </w:pPr>
      <w:r w:rsidRPr="0031061D">
        <w:rPr>
          <w:sz w:val="22"/>
          <w:szCs w:val="22"/>
        </w:rPr>
        <w:t>The moving average system should have real-time, failure notification capability and an auto verification interrupt function at the analyte, specimen, and patient or instrument level.</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include Boolean logic rule writing applications and vendor developed drivers or functionality that enable the use auto-validation/auto-verification in accordance with CAP regulations.</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facilitate the development of compound, nested rules with multiple event actions.</w:t>
      </w:r>
    </w:p>
    <w:p w:rsidR="00204E6A" w:rsidRPr="0031061D" w:rsidP="00204E6A">
      <w:pPr>
        <w:pStyle w:val="ListParagraph"/>
        <w:numPr>
          <w:ilvl w:val="3"/>
          <w:numId w:val="3"/>
        </w:numPr>
        <w:rPr>
          <w:sz w:val="22"/>
          <w:szCs w:val="22"/>
        </w:rPr>
      </w:pPr>
      <w:r w:rsidRPr="0031061D">
        <w:rPr>
          <w:sz w:val="22"/>
          <w:szCs w:val="22"/>
        </w:rPr>
        <w:t>The middleware rule-writing application should have a visual (point-&amp;-click) graphical user interface consistent with Microsoft Windows application and not require complex programming or coding.  It should provide sufficient data elements &amp; granularity so criteria can be defined for patient, specimen and test-level conditions.</w:t>
      </w:r>
    </w:p>
    <w:p w:rsidR="00204E6A" w:rsidRPr="0031061D" w:rsidP="00204E6A">
      <w:pPr>
        <w:pStyle w:val="ListParagraph"/>
        <w:spacing w:after="120" w:line="360" w:lineRule="auto"/>
        <w:ind w:left="2142"/>
        <w:rPr>
          <w:sz w:val="22"/>
          <w:szCs w:val="22"/>
        </w:rPr>
      </w:pP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be able to query incoming orders and outgoing results and hold either for user review and action.</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contain a specimen management system that allows the user to quickly locate any specimen in the system.</w:t>
      </w:r>
    </w:p>
    <w:p w:rsidR="00204E6A" w:rsidRPr="0031061D" w:rsidP="00204E6A">
      <w:pPr>
        <w:pStyle w:val="ListParagraph"/>
        <w:numPr>
          <w:ilvl w:val="3"/>
          <w:numId w:val="3"/>
        </w:numPr>
        <w:spacing w:after="120" w:line="360" w:lineRule="auto"/>
        <w:rPr>
          <w:sz w:val="22"/>
          <w:szCs w:val="22"/>
        </w:rPr>
      </w:pPr>
      <w:r w:rsidRPr="0031061D">
        <w:rPr>
          <w:sz w:val="22"/>
          <w:szCs w:val="22"/>
        </w:rPr>
        <w:t>The Middleware shall have the ability to transmit QC data directly to Bio-Rad Unity Real Time or any other comparable online Quality Control program.</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w:t>
      </w:r>
      <w:r>
        <w:rPr>
          <w:sz w:val="22"/>
          <w:szCs w:val="22"/>
        </w:rPr>
        <w:t>software</w:t>
      </w:r>
      <w:r w:rsidRPr="0031061D">
        <w:rPr>
          <w:sz w:val="22"/>
          <w:szCs w:val="22"/>
        </w:rPr>
        <w:t xml:space="preserve"> shall have a system for inventory management that facilitates the tracking of consumables and ordering of supplies, and include pertinent information about the consumables, including, lot numbers, expiration dates, and item numbers.</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server(s) must have sufficient memory to store all middleware records for a minimum of 14 days with downloading capability to an external medium for long term storage of patient records and other information. </w:t>
      </w:r>
    </w:p>
    <w:p w:rsidR="00204E6A" w:rsidRPr="0031061D" w:rsidP="00204E6A">
      <w:pPr>
        <w:pStyle w:val="ListParagraph"/>
        <w:numPr>
          <w:ilvl w:val="3"/>
          <w:numId w:val="3"/>
        </w:numPr>
        <w:spacing w:after="120" w:line="360" w:lineRule="auto"/>
        <w:rPr>
          <w:sz w:val="22"/>
          <w:szCs w:val="22"/>
        </w:rPr>
      </w:pPr>
      <w:r w:rsidRPr="0031061D">
        <w:rPr>
          <w:sz w:val="22"/>
          <w:szCs w:val="22"/>
        </w:rPr>
        <w:t>The vendor shall provide an accessible online medium for long term storage for patient records, results and other information with storage capacity to maintain 2 years’ worth of information.</w:t>
      </w:r>
      <w:r>
        <w:rPr>
          <w:sz w:val="22"/>
          <w:szCs w:val="22"/>
        </w:rPr>
        <w:t xml:space="preserve">   Information should be stored in a format that is readable by standard software.</w:t>
      </w:r>
    </w:p>
    <w:p w:rsidR="00204E6A" w:rsidRPr="0031061D" w:rsidP="00204E6A">
      <w:pPr>
        <w:pStyle w:val="ListParagraph"/>
        <w:numPr>
          <w:ilvl w:val="3"/>
          <w:numId w:val="3"/>
        </w:numPr>
        <w:spacing w:after="120" w:line="360" w:lineRule="auto"/>
        <w:rPr>
          <w:sz w:val="22"/>
          <w:szCs w:val="22"/>
        </w:rPr>
      </w:pPr>
      <w:r w:rsidRPr="0031061D">
        <w:rPr>
          <w:sz w:val="22"/>
          <w:szCs w:val="22"/>
        </w:rPr>
        <w:t>Patient status display for technologist review and workflow management for all integrated (linked) testing instrumentation.</w:t>
      </w:r>
    </w:p>
    <w:p w:rsidR="00204E6A" w:rsidRPr="0031061D" w:rsidP="00204E6A">
      <w:pPr>
        <w:pStyle w:val="ListParagraph"/>
        <w:numPr>
          <w:ilvl w:val="3"/>
          <w:numId w:val="3"/>
        </w:numPr>
        <w:spacing w:after="120" w:line="360" w:lineRule="auto"/>
        <w:rPr>
          <w:sz w:val="22"/>
          <w:szCs w:val="22"/>
        </w:rPr>
      </w:pPr>
      <w:r w:rsidRPr="0031061D">
        <w:rPr>
          <w:sz w:val="22"/>
          <w:szCs w:val="22"/>
        </w:rPr>
        <w:t>Ability to retransmit patient records to universal interface system in case of interface outage.</w:t>
      </w:r>
    </w:p>
    <w:p w:rsidR="00204E6A" w:rsidRPr="0031061D" w:rsidP="00204E6A">
      <w:pPr>
        <w:pStyle w:val="ListParagraph"/>
        <w:numPr>
          <w:ilvl w:val="3"/>
          <w:numId w:val="3"/>
        </w:numPr>
        <w:spacing w:line="360" w:lineRule="auto"/>
        <w:rPr>
          <w:sz w:val="22"/>
          <w:szCs w:val="22"/>
        </w:rPr>
      </w:pPr>
      <w:r w:rsidRPr="0031061D">
        <w:rPr>
          <w:sz w:val="22"/>
          <w:szCs w:val="22"/>
        </w:rPr>
        <w:t>Technology to automatically repeat testing based on customer configurable testing criteria (repeat testing)</w:t>
      </w:r>
    </w:p>
    <w:p w:rsidR="00204E6A" w:rsidRPr="0031061D" w:rsidP="00204E6A">
      <w:pPr>
        <w:pStyle w:val="ListParagraph"/>
        <w:numPr>
          <w:ilvl w:val="3"/>
          <w:numId w:val="3"/>
        </w:numPr>
        <w:spacing w:line="360" w:lineRule="auto"/>
        <w:rPr>
          <w:sz w:val="22"/>
          <w:szCs w:val="22"/>
        </w:rPr>
      </w:pPr>
      <w:r w:rsidRPr="0031061D">
        <w:rPr>
          <w:sz w:val="22"/>
          <w:szCs w:val="22"/>
        </w:rPr>
        <w:t>Technology to automatically direct additional specimen testing based on customer-configurable testing criteria (reflex technology).</w:t>
      </w:r>
    </w:p>
    <w:p w:rsidR="00204E6A" w:rsidRPr="0031061D" w:rsidP="00204E6A">
      <w:pPr>
        <w:pStyle w:val="ListParagraph"/>
        <w:numPr>
          <w:ilvl w:val="3"/>
          <w:numId w:val="3"/>
        </w:numPr>
        <w:spacing w:line="360" w:lineRule="auto"/>
        <w:rPr>
          <w:sz w:val="22"/>
          <w:szCs w:val="22"/>
        </w:rPr>
      </w:pPr>
      <w:r w:rsidRPr="0031061D">
        <w:rPr>
          <w:sz w:val="22"/>
          <w:szCs w:val="22"/>
        </w:rPr>
        <w:t xml:space="preserve">If vendor provides middleware and server, a backup server capable of taking over system functionality in event of primary server failure is provided at no cost. </w:t>
      </w:r>
    </w:p>
    <w:p w:rsidR="00204E6A" w:rsidRPr="0031061D" w:rsidP="00204E6A">
      <w:pPr>
        <w:pStyle w:val="ListParagraph"/>
        <w:numPr>
          <w:ilvl w:val="3"/>
          <w:numId w:val="3"/>
        </w:numPr>
        <w:spacing w:line="360" w:lineRule="auto"/>
        <w:rPr>
          <w:sz w:val="22"/>
          <w:szCs w:val="22"/>
        </w:rPr>
      </w:pPr>
      <w:r w:rsidRPr="0031061D">
        <w:rPr>
          <w:sz w:val="22"/>
          <w:szCs w:val="22"/>
        </w:rPr>
        <w:t xml:space="preserve">Test Environment or Test Instance of the Middleware in order to be utilized as an isolated environment for testing new systems, configuration changes, instrument interfaces, upgrades, etc.  Test System should have the ability to interface with </w:t>
      </w:r>
      <w:r w:rsidRPr="0031061D">
        <w:rPr>
          <w:sz w:val="22"/>
          <w:szCs w:val="22"/>
        </w:rPr>
        <w:t>VistA</w:t>
      </w:r>
      <w:r w:rsidRPr="0031061D">
        <w:rPr>
          <w:sz w:val="22"/>
          <w:szCs w:val="22"/>
        </w:rPr>
        <w:t xml:space="preserve"> and </w:t>
      </w:r>
      <w:r w:rsidRPr="0031061D">
        <w:rPr>
          <w:sz w:val="22"/>
          <w:szCs w:val="22"/>
        </w:rPr>
        <w:t>VistA</w:t>
      </w:r>
      <w:r w:rsidRPr="0031061D">
        <w:rPr>
          <w:sz w:val="22"/>
          <w:szCs w:val="22"/>
        </w:rPr>
        <w:t xml:space="preserve"> test Account.  </w:t>
      </w:r>
    </w:p>
    <w:p w:rsidR="00204E6A" w:rsidRPr="0031061D" w:rsidP="00204E6A">
      <w:pPr>
        <w:pStyle w:val="ListParagraph"/>
        <w:numPr>
          <w:ilvl w:val="3"/>
          <w:numId w:val="3"/>
        </w:numPr>
        <w:spacing w:line="360" w:lineRule="auto"/>
        <w:rPr>
          <w:sz w:val="22"/>
          <w:szCs w:val="22"/>
        </w:rPr>
      </w:pPr>
      <w:r w:rsidRPr="0031061D">
        <w:rPr>
          <w:sz w:val="22"/>
          <w:szCs w:val="22"/>
        </w:rPr>
        <w:t>It is preferable that the vendor utilize the VA national site-to-site VPN or work with the VA Officer of Cyber and Information Security and Information Security Officers to establish a client-based VPN.</w:t>
      </w:r>
    </w:p>
    <w:p w:rsidR="00204E6A" w:rsidRPr="0031061D" w:rsidP="00204E6A">
      <w:pPr>
        <w:pStyle w:val="ListParagraph"/>
        <w:numPr>
          <w:ilvl w:val="3"/>
          <w:numId w:val="3"/>
        </w:numPr>
        <w:spacing w:line="360" w:lineRule="auto"/>
        <w:rPr>
          <w:sz w:val="22"/>
          <w:szCs w:val="22"/>
        </w:rPr>
      </w:pPr>
      <w:r w:rsidRPr="0031061D">
        <w:rPr>
          <w:sz w:val="22"/>
          <w:szCs w:val="22"/>
        </w:rPr>
        <w:t xml:space="preserve">Provide a completed copy of the Manufacturer Disclosure Statement for Medical Device Security (MDS2) and VA Form 6550.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Contractor shall collaborate with each lab to write/develop protocols to establish customer configurable rules to enhance workflow management and productivity. </w:t>
      </w:r>
      <w:r>
        <w:rPr>
          <w:sz w:val="22"/>
          <w:szCs w:val="22"/>
        </w:rPr>
        <w:t>Vendors will define level and type of support offered.</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Contractor shall assist customer with optimizing operation and utilization of the data management system to fully integrate desired testing instrumentation enhancing productivity and management of workflow. </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provide all hardware, software, lines, adapters, and devices required to connect all Laboratory instruments to the Middleware, including, but not limited to, Lantronix devices or equivalent that are capable of converting DB9 serial to RJ45 Ethernet following RS232 protocols.</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provide 24/7 technical support for all hardware and software of the Middleware and its connections.</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Contractor shall provide all updates, upgrades, revisions, patches, and fixes at no cost to the </w:t>
      </w:r>
      <w:r w:rsidRPr="0031061D">
        <w:rPr>
          <w:sz w:val="22"/>
          <w:szCs w:val="22"/>
        </w:rPr>
        <w:t>Contractee</w:t>
      </w:r>
      <w:r w:rsidRPr="0031061D">
        <w:rPr>
          <w:sz w:val="22"/>
          <w:szCs w:val="22"/>
        </w:rPr>
        <w:t>.</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provide all necessary information to complete an ISA/MOU, if necessary, to create a VPN for the contractor to directly connect to the Middleware for troubleshooting purposes.</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provide all necessary licenses and support for licenses in order for the Laboratory to optimize the utility of the Middleware; i.e. licenses for connections and Thin Client licenses.</w:t>
      </w:r>
    </w:p>
    <w:p w:rsidR="00204E6A" w:rsidRPr="0031061D" w:rsidP="00204E6A">
      <w:pPr>
        <w:pStyle w:val="ListParagraph"/>
        <w:numPr>
          <w:ilvl w:val="3"/>
          <w:numId w:val="3"/>
        </w:numPr>
        <w:rPr>
          <w:sz w:val="22"/>
          <w:szCs w:val="22"/>
        </w:rPr>
      </w:pPr>
      <w:r w:rsidRPr="0031061D">
        <w:rPr>
          <w:sz w:val="22"/>
          <w:szCs w:val="22"/>
        </w:rPr>
        <w:t>Remote-access to server for multiple VA users, either with dedicated thin client terminals or via Windows Remote Desktop Connection</w:t>
      </w:r>
      <w:r w:rsidRPr="0031061D">
        <w:rPr>
          <w:sz w:val="22"/>
          <w:szCs w:val="22"/>
          <w:highlight w:val="lightGray"/>
        </w:rPr>
        <w:t xml:space="preserve"> </w:t>
      </w:r>
    </w:p>
    <w:p w:rsidR="00204E6A" w:rsidRPr="0031061D" w:rsidP="00204E6A">
      <w:pPr>
        <w:pStyle w:val="ListParagraph"/>
        <w:numPr>
          <w:ilvl w:val="3"/>
          <w:numId w:val="3"/>
        </w:numPr>
        <w:spacing w:after="120" w:line="360" w:lineRule="auto"/>
        <w:rPr>
          <w:sz w:val="22"/>
          <w:szCs w:val="22"/>
        </w:rPr>
      </w:pPr>
      <w:r w:rsidRPr="0031061D">
        <w:rPr>
          <w:sz w:val="22"/>
          <w:szCs w:val="22"/>
        </w:rPr>
        <w:t>The Contractor shall provide training for the Middleware prior to implementation, annually thereafter and anytime there is an upgrade where additional training would be beneficial.</w:t>
      </w:r>
    </w:p>
    <w:p w:rsidR="00204E6A" w:rsidRPr="0031061D" w:rsidP="00204E6A">
      <w:pPr>
        <w:pStyle w:val="ListParagraph"/>
        <w:numPr>
          <w:ilvl w:val="2"/>
          <w:numId w:val="3"/>
        </w:numPr>
        <w:spacing w:after="120" w:line="360" w:lineRule="auto"/>
        <w:rPr>
          <w:sz w:val="22"/>
          <w:szCs w:val="22"/>
        </w:rPr>
      </w:pPr>
      <w:r w:rsidRPr="0031061D">
        <w:rPr>
          <w:b/>
          <w:sz w:val="22"/>
          <w:szCs w:val="22"/>
        </w:rPr>
        <w:t xml:space="preserve">Hardware Features- </w:t>
      </w:r>
      <w:r w:rsidRPr="0031061D">
        <w:rPr>
          <w:sz w:val="22"/>
          <w:szCs w:val="22"/>
        </w:rPr>
        <w:t>The instrumentation shall have the following:</w:t>
      </w:r>
    </w:p>
    <w:p w:rsidR="00204E6A" w:rsidRPr="00997EE9" w:rsidP="00204E6A">
      <w:pPr>
        <w:pStyle w:val="ListParagraph"/>
        <w:numPr>
          <w:ilvl w:val="3"/>
          <w:numId w:val="3"/>
        </w:numPr>
        <w:spacing w:after="120" w:line="360" w:lineRule="auto"/>
        <w:rPr>
          <w:sz w:val="22"/>
          <w:szCs w:val="22"/>
        </w:rPr>
      </w:pPr>
      <w:r w:rsidRPr="00997EE9">
        <w:rPr>
          <w:sz w:val="22"/>
          <w:szCs w:val="22"/>
        </w:rPr>
        <w:t>A total equipment footprint that when installed in the laboratory shall not impact the functionality/operations of that laboratory. See Attachment D.3 for current specifications.</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All monitors/screens will clearly display information in all light conditions.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A printer(s) that has the capability of printing a patient report with patient demographic information that includes minimally the patient’s name and accession or unique identifier number (UID).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An uninterruptible power supply (UPS) with line conditioner for each instrument provided. (This includes UPS units for sites with automation lines, specimen </w:t>
      </w:r>
      <w:r w:rsidRPr="0031061D">
        <w:rPr>
          <w:sz w:val="22"/>
          <w:szCs w:val="22"/>
        </w:rPr>
        <w:t xml:space="preserve">management systems, data management systems, refrigerated archive storage, etc.,) Each UPS must provide electrical power for a minimum of 15 minutes after electrical power fails and the system must allow for an automatic controlled shutdown to prevent damage to the instrument and data records.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If the proposed instrument system requires an independent water system to operate, the vendor will include the water system and all maintenance of the system as part of the CPRR package.  </w:t>
      </w:r>
    </w:p>
    <w:p w:rsidR="00204E6A" w:rsidRPr="0031061D" w:rsidP="00204E6A">
      <w:pPr>
        <w:pStyle w:val="ListParagraph"/>
        <w:numPr>
          <w:ilvl w:val="2"/>
          <w:numId w:val="3"/>
        </w:numPr>
        <w:spacing w:after="120" w:line="360" w:lineRule="auto"/>
        <w:rPr>
          <w:sz w:val="22"/>
          <w:szCs w:val="22"/>
        </w:rPr>
      </w:pPr>
      <w:r w:rsidRPr="0031061D">
        <w:rPr>
          <w:sz w:val="22"/>
          <w:szCs w:val="22"/>
        </w:rPr>
        <w:t xml:space="preserve">Specific Equipment Requirements- -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Single lot of reagent for each test/analyte per shipment with a minimum dating of 90 days.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User defined option for patient testing to be disabled if QC failure occurs. </w:t>
      </w:r>
    </w:p>
    <w:p w:rsidR="00204E6A" w:rsidRPr="0031061D" w:rsidP="00204E6A">
      <w:pPr>
        <w:pStyle w:val="ListParagraph"/>
        <w:numPr>
          <w:ilvl w:val="3"/>
          <w:numId w:val="3"/>
        </w:numPr>
        <w:spacing w:after="120" w:line="360" w:lineRule="auto"/>
        <w:rPr>
          <w:sz w:val="22"/>
          <w:szCs w:val="22"/>
        </w:rPr>
      </w:pPr>
      <w:r w:rsidRPr="0031061D">
        <w:rPr>
          <w:sz w:val="22"/>
          <w:szCs w:val="22"/>
        </w:rPr>
        <w:t>The printer should be user defined to print the results real-time or on demand as well as option to print exceptional reports held in the middleware for auto verification purposes.</w:t>
      </w:r>
    </w:p>
    <w:p w:rsidR="00204E6A" w:rsidP="00204E6A">
      <w:pPr>
        <w:pStyle w:val="ListParagraph"/>
        <w:numPr>
          <w:ilvl w:val="3"/>
          <w:numId w:val="3"/>
        </w:numPr>
        <w:spacing w:after="120" w:line="360" w:lineRule="auto"/>
        <w:rPr>
          <w:sz w:val="22"/>
          <w:szCs w:val="22"/>
        </w:rPr>
      </w:pPr>
      <w:r w:rsidRPr="0031061D">
        <w:rPr>
          <w:sz w:val="22"/>
          <w:szCs w:val="22"/>
        </w:rPr>
        <w:t xml:space="preserve">Equipment installation and possible reinstallation should the equipment need to be moved due to construction or laboratory redesign at no additional cost for one (1) location within each site. </w:t>
      </w:r>
    </w:p>
    <w:p w:rsidR="00204E6A" w:rsidRPr="006C0439" w:rsidP="00204E6A">
      <w:pPr>
        <w:pStyle w:val="ListParagraph"/>
        <w:numPr>
          <w:ilvl w:val="3"/>
          <w:numId w:val="3"/>
        </w:numPr>
        <w:spacing w:after="120" w:line="360" w:lineRule="auto"/>
        <w:rPr>
          <w:sz w:val="22"/>
          <w:szCs w:val="22"/>
        </w:rPr>
      </w:pPr>
      <w:bookmarkStart w:id="1" w:name="_Hlk153783612"/>
      <w:r w:rsidRPr="006C0439">
        <w:rPr>
          <w:sz w:val="22"/>
          <w:szCs w:val="22"/>
        </w:rPr>
        <w:t>Equipment will be compatible with facility based limitation such as, but no limited to HVAC for cooling, size to get through doors to the final install location, water supply, drain for wastes.  If applicable.</w:t>
      </w:r>
      <w:bookmarkEnd w:id="1"/>
    </w:p>
    <w:p w:rsidR="00204E6A" w:rsidRPr="0031061D" w:rsidP="00204E6A">
      <w:pPr>
        <w:pStyle w:val="MyriadPro1015"/>
        <w:numPr>
          <w:ilvl w:val="2"/>
          <w:numId w:val="3"/>
        </w:numPr>
      </w:pPr>
      <w:r w:rsidRPr="0031061D">
        <w:t>Method Performance/Validation Requirements</w:t>
      </w:r>
    </w:p>
    <w:p w:rsidR="00204E6A" w:rsidRPr="0031061D" w:rsidP="00204E6A">
      <w:pPr>
        <w:pStyle w:val="MyriadPro1015"/>
      </w:pPr>
      <w:r w:rsidRPr="0031061D">
        <w:t>Method performance/comparison shall be at the expense of and performed by the Contractor, shall include linearity material and reagents, and be consistent with current CLSI guidelines and related documents, College of American Pathologists (CAP) standards and Federal regulations. All studies performed will be appropriate for the test menu of the respective laboratory to include serum, plasma, urine and body fluids as applicable.   All studies must be approved by the local Laboratory Medicine Medical Director and made electronically available.  These requirements shall be in effect during installation and any future changes to the test menu and/or method updates.</w:t>
      </w:r>
    </w:p>
    <w:p w:rsidR="00204E6A" w:rsidRPr="0031061D" w:rsidP="00204E6A">
      <w:pPr>
        <w:pStyle w:val="MyriadPro1015"/>
        <w:numPr>
          <w:ilvl w:val="4"/>
          <w:numId w:val="3"/>
        </w:numPr>
      </w:pPr>
      <w:r w:rsidRPr="0031061D">
        <w:t xml:space="preserve">Correlation studies for each analyte.  A minimum of </w:t>
      </w:r>
      <w:r>
        <w:t>30</w:t>
      </w:r>
      <w:r w:rsidRPr="0031061D">
        <w:t xml:space="preserve"> s</w:t>
      </w:r>
      <w:r w:rsidRPr="0031061D">
        <w:t xml:space="preserve">amples spanning the reportable range shall be run by the present and the proposed method. In </w:t>
      </w:r>
      <w:r w:rsidRPr="0031061D">
        <w:t xml:space="preserve">systems where multiple sampling modes exist, mode to mode correlation studies must also be performed. Contractor shall analyze results and provide statistical data to support acceptance of the new method for above studies.  Statistics shall consist of at least mean, bias, slope, y-intercept, correlation coefficient, ROC analysis.  </w:t>
      </w:r>
    </w:p>
    <w:p w:rsidR="00204E6A" w:rsidRPr="0031061D" w:rsidP="00204E6A">
      <w:pPr>
        <w:pStyle w:val="MyriadPro1015"/>
        <w:numPr>
          <w:ilvl w:val="4"/>
          <w:numId w:val="3"/>
        </w:numPr>
      </w:pPr>
      <w:r w:rsidRPr="0031061D">
        <w:t xml:space="preserve">Analytical Measurement Range (AMR) Validation shall be performed on proposed instrument(s) for each analyte to validate the reportable range.  The material must have values, which are near the low, mid, and high values of the AMR and be of appropriate matrix for the clinical specimens assayed by that method.  A minimum 5-point linearity analysis that adheres to the Beer-Lambert Law and spans the entire range shall be performed as a minimum. </w:t>
      </w:r>
    </w:p>
    <w:p w:rsidR="00204E6A" w:rsidRPr="0031061D" w:rsidP="00204E6A">
      <w:pPr>
        <w:pStyle w:val="MyriadPro1015"/>
        <w:numPr>
          <w:ilvl w:val="4"/>
          <w:numId w:val="3"/>
        </w:numPr>
      </w:pPr>
      <w:r w:rsidRPr="0031061D">
        <w:t xml:space="preserve">Precision study using normal and abnormal control material.  This shall include, at a minimum, within run precision study of 10 normal and 10 abnormal Vendor provided Controls. </w:t>
      </w:r>
    </w:p>
    <w:p w:rsidR="00204E6A" w:rsidRPr="0031061D" w:rsidP="00204E6A">
      <w:pPr>
        <w:pStyle w:val="MyriadPro1015"/>
        <w:numPr>
          <w:ilvl w:val="4"/>
          <w:numId w:val="3"/>
        </w:numPr>
      </w:pPr>
      <w:r w:rsidRPr="0031061D">
        <w:t>Sensitivity.  Sensitivity may be validated concurrently with correlation studies.  Mathematical calculations to determine efficiency, sensitivity, false positive rate and false negative rate are applied.</w:t>
      </w:r>
    </w:p>
    <w:p w:rsidR="00204E6A" w:rsidRPr="0031061D" w:rsidP="00204E6A">
      <w:pPr>
        <w:pStyle w:val="MyriadPro1015"/>
        <w:numPr>
          <w:ilvl w:val="4"/>
          <w:numId w:val="3"/>
        </w:numPr>
      </w:pPr>
      <w:r w:rsidRPr="0031061D">
        <w:t>Specificity Studies.  A review of product literature and assay inserts to determine any adverse effects for increased bilirubin, hemolysis, lipemia, or other interfering substances.</w:t>
      </w:r>
    </w:p>
    <w:p w:rsidR="00204E6A" w:rsidRPr="0031061D" w:rsidP="00204E6A">
      <w:pPr>
        <w:pStyle w:val="MyriadPro1015"/>
        <w:numPr>
          <w:ilvl w:val="4"/>
          <w:numId w:val="3"/>
        </w:numPr>
      </w:pPr>
      <w:r w:rsidRPr="0031061D">
        <w:t>Carryover Studies. Successful carryover studies shall be completed by the contractor on all analyzers during installation, if required.   These studies shall be performed using either contractor developed program(s) or program(s) developed by a third party (CAP/CLSI).  The programs shall be provided to each laboratory at no charge.</w:t>
      </w:r>
    </w:p>
    <w:p w:rsidR="00204E6A" w:rsidRPr="0031061D" w:rsidP="00204E6A">
      <w:pPr>
        <w:pStyle w:val="ListParagraph"/>
        <w:spacing w:after="120" w:line="360" w:lineRule="auto"/>
        <w:ind w:left="504"/>
        <w:rPr>
          <w:sz w:val="22"/>
          <w:szCs w:val="22"/>
        </w:rPr>
      </w:pPr>
    </w:p>
    <w:p w:rsidR="00204E6A" w:rsidRPr="0031061D" w:rsidP="00204E6A">
      <w:pPr>
        <w:pStyle w:val="ListParagraph"/>
        <w:widowControl w:val="0"/>
        <w:numPr>
          <w:ilvl w:val="2"/>
          <w:numId w:val="3"/>
        </w:numPr>
        <w:spacing w:after="120" w:line="360" w:lineRule="auto"/>
        <w:rPr>
          <w:bCs/>
          <w:sz w:val="22"/>
          <w:szCs w:val="22"/>
        </w:rPr>
      </w:pPr>
      <w:r w:rsidRPr="0031061D">
        <w:rPr>
          <w:b/>
          <w:bCs/>
          <w:sz w:val="22"/>
          <w:szCs w:val="22"/>
        </w:rPr>
        <w:t xml:space="preserve">Reference Range- </w:t>
      </w:r>
      <w:r w:rsidRPr="0031061D">
        <w:rPr>
          <w:bCs/>
          <w:sz w:val="22"/>
          <w:szCs w:val="22"/>
        </w:rPr>
        <w:t>A reference range must be determined for each test following CLSI guidelines.  Samples used for the reference range study must be representative of the patient population being tested.  Reference range assessment must be performed for each lab.  One of the following protocols shall be used:</w:t>
      </w:r>
    </w:p>
    <w:p w:rsidR="00204E6A" w:rsidRPr="0031061D" w:rsidP="00204E6A">
      <w:pPr>
        <w:pStyle w:val="ListParagraph"/>
        <w:widowControl w:val="0"/>
        <w:numPr>
          <w:ilvl w:val="3"/>
          <w:numId w:val="3"/>
        </w:numPr>
        <w:spacing w:after="120" w:line="360" w:lineRule="auto"/>
        <w:rPr>
          <w:bCs/>
          <w:sz w:val="22"/>
          <w:szCs w:val="22"/>
        </w:rPr>
      </w:pPr>
      <w:r w:rsidRPr="0031061D">
        <w:rPr>
          <w:bCs/>
          <w:sz w:val="22"/>
          <w:szCs w:val="22"/>
        </w:rPr>
        <w:t xml:space="preserve">A verification of the manufacturer’s suggested reference range may be performed as long as the suggested range is based on a comparable population of test subjects.  </w:t>
      </w:r>
      <w:r w:rsidRPr="0031061D">
        <w:rPr>
          <w:bCs/>
          <w:sz w:val="22"/>
          <w:szCs w:val="22"/>
        </w:rPr>
        <w:t>The manufacturer shall provide specific information defining how the suggested range was determined.  A minimum of 20 reference individuals shall be used to verify the manufacturer’s range.  Any apparent outliers should be discarded and new specimens obtained to provide a statistically valid verification.</w:t>
      </w:r>
    </w:p>
    <w:p w:rsidR="00204E6A" w:rsidRPr="0031061D" w:rsidP="00204E6A">
      <w:pPr>
        <w:pStyle w:val="ListParagraph"/>
        <w:widowControl w:val="0"/>
        <w:numPr>
          <w:ilvl w:val="3"/>
          <w:numId w:val="3"/>
        </w:numPr>
        <w:spacing w:after="120" w:line="360" w:lineRule="auto"/>
        <w:rPr>
          <w:bCs/>
          <w:sz w:val="22"/>
          <w:szCs w:val="22"/>
        </w:rPr>
      </w:pPr>
      <w:r w:rsidRPr="0031061D">
        <w:rPr>
          <w:bCs/>
          <w:sz w:val="22"/>
          <w:szCs w:val="22"/>
        </w:rPr>
        <w:t>If the suggested manufacturer’s range is not appropriate for the patient population, a reference range shall be established.  Establishing a reference must follow CLSI guidelines.  This requires a minimum of 120 reference individuals to be used to establish a reference range.  The reference interval should be determined using the nonparametric method.</w:t>
      </w:r>
    </w:p>
    <w:p w:rsidR="00204E6A" w:rsidRPr="0031061D" w:rsidP="00204E6A">
      <w:pPr>
        <w:pStyle w:val="ListParagraph"/>
        <w:widowControl w:val="0"/>
        <w:numPr>
          <w:ilvl w:val="3"/>
          <w:numId w:val="3"/>
        </w:numPr>
        <w:spacing w:after="120" w:line="360" w:lineRule="auto"/>
        <w:rPr>
          <w:bCs/>
          <w:sz w:val="22"/>
          <w:szCs w:val="22"/>
        </w:rPr>
      </w:pPr>
      <w:r w:rsidRPr="0031061D">
        <w:rPr>
          <w:bCs/>
          <w:sz w:val="22"/>
          <w:szCs w:val="22"/>
        </w:rPr>
        <w:t>If a laboratory is currently using the proposed instrument/reagent system, the “in-use” reference range can be transferred to the “new” system if a method comparison study between the two systems proves to be acceptable.  If comparison studies are not acceptable, one of the two above items must be performed.</w:t>
      </w:r>
    </w:p>
    <w:p w:rsidR="00204E6A" w:rsidRPr="0031061D" w:rsidP="00204E6A">
      <w:pPr>
        <w:pStyle w:val="ListParagraph"/>
        <w:numPr>
          <w:ilvl w:val="2"/>
          <w:numId w:val="3"/>
        </w:numPr>
        <w:spacing w:after="120" w:line="360" w:lineRule="auto"/>
        <w:rPr>
          <w:sz w:val="22"/>
          <w:szCs w:val="22"/>
        </w:rPr>
      </w:pPr>
      <w:r w:rsidRPr="0031061D">
        <w:rPr>
          <w:b/>
          <w:bCs/>
          <w:sz w:val="22"/>
          <w:szCs w:val="22"/>
        </w:rPr>
        <w:t xml:space="preserve">Reports- </w:t>
      </w:r>
      <w:r w:rsidRPr="0031061D">
        <w:rPr>
          <w:bCs/>
          <w:sz w:val="22"/>
          <w:szCs w:val="22"/>
        </w:rPr>
        <w:t xml:space="preserve">The Contractor shall provide to the Contracting Officer and other individuals (designated post-award) a copy of a </w:t>
      </w:r>
      <w:r w:rsidRPr="0031061D">
        <w:rPr>
          <w:b/>
          <w:bCs/>
          <w:sz w:val="22"/>
          <w:szCs w:val="22"/>
          <w:u w:val="single"/>
        </w:rPr>
        <w:t>quarterly report of sales</w:t>
      </w:r>
      <w:r w:rsidRPr="0031061D">
        <w:rPr>
          <w:b/>
          <w:bCs/>
          <w:sz w:val="22"/>
          <w:szCs w:val="22"/>
        </w:rPr>
        <w:t>, by ordering facility, within 30 calendar days after the close of each quarter’s business.</w:t>
      </w:r>
      <w:r w:rsidRPr="0031061D">
        <w:rPr>
          <w:bCs/>
          <w:sz w:val="22"/>
          <w:szCs w:val="22"/>
        </w:rPr>
        <w:t xml:space="preserve">  Reports are to reflect, at a minimum, total net sales amounts before discount, and discount amounts by ordering facility as well as the raw data used to develop these reports.  These reports shall be used to monitor the commitment of each facility, reporting the savings realized and shall be shared with each participating facility, personnel associated with acquiring the products, and respective laboratory personnel. </w:t>
      </w:r>
      <w:r w:rsidRPr="0031061D">
        <w:rPr>
          <w:sz w:val="22"/>
          <w:szCs w:val="22"/>
        </w:rPr>
        <w:t xml:space="preserve">Additional invoice charges associated with reagent and/or supply wastage or repair parts included at no charge (per FSS awarded contract) shall not be accepted. There will be no additional charges for any reports required as part of the BPA. These reports will be in an Excel spreadsheet, multiple tabs may be used, to include a VISN summary tab. </w:t>
      </w:r>
    </w:p>
    <w:p w:rsidR="00204E6A" w:rsidRPr="0031061D" w:rsidP="00204E6A">
      <w:pPr>
        <w:pStyle w:val="ListParagraph"/>
        <w:numPr>
          <w:ilvl w:val="2"/>
          <w:numId w:val="3"/>
        </w:numPr>
        <w:spacing w:after="120" w:line="360" w:lineRule="auto"/>
        <w:rPr>
          <w:sz w:val="22"/>
          <w:szCs w:val="22"/>
        </w:rPr>
      </w:pPr>
      <w:r w:rsidRPr="0031061D">
        <w:rPr>
          <w:b/>
          <w:sz w:val="22"/>
          <w:szCs w:val="22"/>
        </w:rPr>
        <w:t>Support Features-</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Commercial marketing. The equipment models being offered shall be in current production as of the date this offer is submitted.  For purposes of this solicitation, “current production” shall mean that the clinical laboratory analyzer model is being offered as new equipment.  Discontinued models that are only being made available as remanufactured equipment are not acceptable.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Start-Up Reagents. The Contractor shall provide all reagents, calibrators, Vendor provided Controls, linearity materials, consumable/disposable items, parts, accessories and any other item included on the list of supplies defined in the Federal Supply Schedule contract and required to validate instruments for operation for performance </w:t>
      </w:r>
      <w:r w:rsidRPr="0031061D">
        <w:rPr>
          <w:sz w:val="22"/>
          <w:szCs w:val="22"/>
        </w:rPr>
        <w:t xml:space="preserve">of acceptance testing. This applies to all equipment as well as additional or replacement equipment placed under the terms and conditions of this BPA. The Contractor shall perform/assist, to the satisfaction of the Government, all validation studies including: precision, method comparison with current analyzer, accuracy (recovery), linearity (reportable range), calibration verification, verification of reference interval, and determination of sensitivity and specificity at no cost to the Government.  The Contractor shall perform all of the statistical analysis as stated in the Method Performance/Validation section above and provide a hard-copy and electronic copy of data in an organized, clearly comprehensible format.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Training. The Contractor shall provide an instrument training program that is coordinated with and timely to the equipment installation, sufficient to the size and scope of the facility’s services and minimally equivalent to the terms and conditions for training defined in the Contractor’s Federal Supply Schedule FSC Group 66, Part III, Cost-Per-Test Clinical Laboratory Analyzers contract. This key operator training for 2 operators shall include training on the operation of the system, data manipulation, and basic trouble shooting and repair for each </w:t>
      </w:r>
      <w:r>
        <w:rPr>
          <w:sz w:val="22"/>
          <w:szCs w:val="22"/>
        </w:rPr>
        <w:t>system</w:t>
      </w:r>
      <w:r w:rsidRPr="0031061D">
        <w:rPr>
          <w:sz w:val="22"/>
          <w:szCs w:val="22"/>
        </w:rPr>
        <w:t xml:space="preserve">. Thereafter, the Contractor shall provide training for minimally one operator per </w:t>
      </w:r>
      <w:r>
        <w:rPr>
          <w:sz w:val="22"/>
          <w:szCs w:val="22"/>
        </w:rPr>
        <w:t>system</w:t>
      </w:r>
      <w:r w:rsidRPr="0031061D">
        <w:rPr>
          <w:sz w:val="22"/>
          <w:szCs w:val="22"/>
        </w:rPr>
        <w:t xml:space="preserve"> per facility per year at the discretion of the Government for each model of instrumentation placed. Utilization of the training slots shall be mutually agreed upon between the VA and the Contractor.  A training program that involves off-site travel shall include the cost of airfare, room and board for each participant.</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In addition, basic operator training shall be provided by Contractor on-site for all operators on all shifts, as applicable.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Equipment Preventative Maintenance/Repair Service. The Contractor shall be able to provide, at no cost to the </w:t>
      </w:r>
      <w:r w:rsidRPr="0031061D">
        <w:rPr>
          <w:sz w:val="22"/>
          <w:szCs w:val="22"/>
        </w:rPr>
        <w:t>Contractee</w:t>
      </w:r>
      <w:r w:rsidRPr="0031061D">
        <w:rPr>
          <w:sz w:val="22"/>
          <w:szCs w:val="22"/>
        </w:rPr>
        <w:t>, emergency equipment repair and preventative maintenance on all primary and back-up instrumentation, primary processing automation line instrumentation and any incremental support/ancillary equipment, e.g. water system, printers,</w:t>
      </w:r>
      <w:r>
        <w:rPr>
          <w:sz w:val="22"/>
          <w:szCs w:val="22"/>
        </w:rPr>
        <w:t xml:space="preserve"> UPS, </w:t>
      </w:r>
      <w:r w:rsidRPr="0031061D">
        <w:rPr>
          <w:sz w:val="22"/>
          <w:szCs w:val="22"/>
        </w:rPr>
        <w:t>etc. offered according to the following terms:</w:t>
      </w:r>
    </w:p>
    <w:p w:rsidR="00204E6A" w:rsidRPr="0031061D" w:rsidP="00204E6A">
      <w:pPr>
        <w:pStyle w:val="MyriadPro1015"/>
        <w:numPr>
          <w:ilvl w:val="4"/>
          <w:numId w:val="3"/>
        </w:numPr>
      </w:pPr>
      <w:r w:rsidRPr="0031061D">
        <w:t>Service Requirements</w:t>
      </w:r>
    </w:p>
    <w:p w:rsidR="00204E6A" w:rsidRPr="0031061D" w:rsidP="00204E6A">
      <w:pPr>
        <w:pStyle w:val="MyriadPro1015"/>
        <w:numPr>
          <w:ilvl w:val="5"/>
          <w:numId w:val="3"/>
        </w:numPr>
      </w:pPr>
      <w:r w:rsidRPr="0031061D">
        <w:t xml:space="preserve">A technical assistance center shall be available by telephone 24 hours per day, 7 days per week with a maximum call back response time of </w:t>
      </w:r>
      <w:r w:rsidRPr="0031061D">
        <w:t>1</w:t>
      </w:r>
      <w:r w:rsidRPr="0031061D">
        <w:t xml:space="preserve"> hour </w:t>
      </w:r>
    </w:p>
    <w:p w:rsidR="00204E6A" w:rsidRPr="0031061D" w:rsidP="00204E6A">
      <w:pPr>
        <w:pStyle w:val="MyriadPro1015"/>
        <w:numPr>
          <w:ilvl w:val="5"/>
          <w:numId w:val="3"/>
        </w:numPr>
      </w:pPr>
      <w:r w:rsidRPr="0031061D">
        <w:t>Location and hours of operations are as follows:</w:t>
      </w:r>
    </w:p>
    <w:p w:rsidR="00204E6A" w:rsidRPr="0031061D" w:rsidP="00204E6A">
      <w:pPr>
        <w:pStyle w:val="MyriadPro1015"/>
      </w:pPr>
      <w:r w:rsidRPr="0031061D">
        <w:t>Portland - 648</w:t>
      </w:r>
    </w:p>
    <w:p w:rsidR="00204E6A" w:rsidRPr="0031061D" w:rsidP="00204E6A">
      <w:pPr>
        <w:pStyle w:val="MyriadPro1015"/>
      </w:pPr>
      <w:r w:rsidRPr="0031061D">
        <w:t>Portland Campus, 3710 SW U.S. Veterans Hospital Road, Portland, OR 97239</w:t>
      </w:r>
    </w:p>
    <w:p w:rsidR="00204E6A" w:rsidRPr="0031061D" w:rsidP="00204E6A">
      <w:pPr>
        <w:pStyle w:val="MyriadPro1015"/>
      </w:pPr>
      <w:r w:rsidRPr="0031061D">
        <w:t>24hrs, 7 days a week</w:t>
      </w:r>
    </w:p>
    <w:p w:rsidR="00204E6A" w:rsidRPr="0031061D" w:rsidP="00204E6A">
      <w:pPr>
        <w:pStyle w:val="MyriadPro1015"/>
        <w:numPr>
          <w:ilvl w:val="5"/>
          <w:numId w:val="3"/>
        </w:numPr>
      </w:pPr>
      <w:r w:rsidRPr="0031061D">
        <w:t>Equipment repair service shall be provided</w:t>
      </w:r>
      <w:r>
        <w:t xml:space="preserve"> for each facility during operational hours listed in 2.2.16.4.1.2</w:t>
      </w:r>
      <w:r w:rsidRPr="0031061D">
        <w:t xml:space="preserve">.  </w:t>
      </w:r>
      <w:r>
        <w:t>Most repairs will take place during normal business hours, c</w:t>
      </w:r>
      <w:r w:rsidRPr="0031061D">
        <w:t xml:space="preserve">ertain circumstances may dictate the need for repair service to be conducted outside routine business hours.  All such arrangements shall be coordinated between the Contractor and VA laboratory personnel.  Equipment repair response time shall be no more than </w:t>
      </w:r>
      <w:r w:rsidRPr="0031061D">
        <w:t>24</w:t>
      </w:r>
      <w:r w:rsidRPr="0031061D">
        <w:t xml:space="preserve"> hours.</w:t>
      </w:r>
      <w:r>
        <w:t xml:space="preserve"> </w:t>
      </w:r>
    </w:p>
    <w:p w:rsidR="00204E6A" w:rsidRPr="0031061D" w:rsidP="00204E6A">
      <w:pPr>
        <w:pStyle w:val="MyriadPro1015"/>
        <w:numPr>
          <w:ilvl w:val="5"/>
          <w:numId w:val="3"/>
        </w:numPr>
      </w:pPr>
      <w:r w:rsidRPr="0031061D">
        <w:t>Remote Access diagnostic trouble shooting capabilities available with a national ISO Internet Security agreement.</w:t>
      </w:r>
    </w:p>
    <w:p w:rsidR="00204E6A" w:rsidRPr="0031061D" w:rsidP="00204E6A">
      <w:pPr>
        <w:pStyle w:val="MyriadPro1015"/>
        <w:numPr>
          <w:ilvl w:val="5"/>
          <w:numId w:val="3"/>
        </w:numPr>
      </w:pPr>
      <w:r w:rsidRPr="0031061D">
        <w:t>Preventative maintenance will be performed as frequently as published in manufacturer’s operator’s manual and within 2 weeks of the scheduled due date.</w:t>
      </w:r>
    </w:p>
    <w:p w:rsidR="00204E6A" w:rsidRPr="0031061D" w:rsidP="00204E6A">
      <w:pPr>
        <w:pStyle w:val="MyriadPro1015"/>
        <w:numPr>
          <w:ilvl w:val="5"/>
          <w:numId w:val="3"/>
        </w:numPr>
      </w:pPr>
      <w:r w:rsidRPr="0031061D">
        <w:t>A malfunction incident report shall be furnished to the Laboratory upon completion of each repair call, within 24 hours of the repair.  The report shall include, as a minimum, the following:</w:t>
      </w:r>
    </w:p>
    <w:p w:rsidR="00204E6A" w:rsidRPr="0031061D" w:rsidP="00204E6A">
      <w:pPr>
        <w:pStyle w:val="MyriadPro1015"/>
        <w:numPr>
          <w:ilvl w:val="6"/>
          <w:numId w:val="3"/>
        </w:numPr>
      </w:pPr>
      <w:r w:rsidRPr="0031061D">
        <w:t>date and time notified</w:t>
      </w:r>
    </w:p>
    <w:p w:rsidR="00204E6A" w:rsidRPr="0031061D" w:rsidP="00204E6A">
      <w:pPr>
        <w:pStyle w:val="MyriadPro1015"/>
        <w:numPr>
          <w:ilvl w:val="6"/>
          <w:numId w:val="3"/>
        </w:numPr>
      </w:pPr>
      <w:r w:rsidRPr="0031061D">
        <w:t>date and time of arrival</w:t>
      </w:r>
    </w:p>
    <w:p w:rsidR="00204E6A" w:rsidRPr="0031061D" w:rsidP="00204E6A">
      <w:pPr>
        <w:pStyle w:val="MyriadPro1015"/>
        <w:numPr>
          <w:ilvl w:val="6"/>
          <w:numId w:val="3"/>
        </w:numPr>
      </w:pPr>
      <w:r w:rsidRPr="0031061D">
        <w:t>serial number, type and model number of equipment</w:t>
      </w:r>
    </w:p>
    <w:p w:rsidR="00204E6A" w:rsidRPr="0031061D" w:rsidP="00204E6A">
      <w:pPr>
        <w:pStyle w:val="MyriadPro1015"/>
        <w:numPr>
          <w:ilvl w:val="6"/>
          <w:numId w:val="3"/>
        </w:numPr>
      </w:pPr>
      <w:r w:rsidRPr="0031061D">
        <w:t>time spent for repair, and</w:t>
      </w:r>
    </w:p>
    <w:p w:rsidR="00204E6A" w:rsidRPr="0031061D" w:rsidP="00204E6A">
      <w:pPr>
        <w:pStyle w:val="MyriadPro1015"/>
        <w:numPr>
          <w:ilvl w:val="6"/>
          <w:numId w:val="3"/>
        </w:numPr>
      </w:pPr>
      <w:r w:rsidRPr="0031061D">
        <w:t>proof of repair that includes documentation of a sample run of quality control verifying acceptable performance.</w:t>
      </w:r>
    </w:p>
    <w:p w:rsidR="00204E6A" w:rsidP="00204E6A">
      <w:pPr>
        <w:pStyle w:val="ListParagraph"/>
        <w:numPr>
          <w:ilvl w:val="4"/>
          <w:numId w:val="3"/>
        </w:numPr>
        <w:spacing w:after="120" w:line="360" w:lineRule="auto"/>
        <w:ind w:left="2232"/>
        <w:rPr>
          <w:sz w:val="22"/>
          <w:szCs w:val="22"/>
        </w:rPr>
      </w:pPr>
      <w:r w:rsidRPr="0088557B">
        <w:rPr>
          <w:sz w:val="22"/>
          <w:szCs w:val="22"/>
        </w:rPr>
        <w:t>Each notification for an emergency repair service call shall be treated as a separate and new service call.</w:t>
      </w:r>
    </w:p>
    <w:p w:rsidR="00204E6A" w:rsidRPr="0088557B" w:rsidP="00204E6A">
      <w:pPr>
        <w:pStyle w:val="ListParagraph"/>
        <w:numPr>
          <w:ilvl w:val="4"/>
          <w:numId w:val="3"/>
        </w:numPr>
        <w:spacing w:after="120" w:line="360" w:lineRule="auto"/>
        <w:ind w:left="2232"/>
        <w:rPr>
          <w:sz w:val="22"/>
          <w:szCs w:val="22"/>
        </w:rPr>
      </w:pPr>
      <w:r>
        <w:rPr>
          <w:sz w:val="22"/>
          <w:szCs w:val="22"/>
        </w:rPr>
        <w:t>U</w:t>
      </w:r>
      <w:r w:rsidRPr="0088557B">
        <w:rPr>
          <w:sz w:val="22"/>
          <w:szCs w:val="22"/>
        </w:rPr>
        <w:t>ptime Guarantee/Performance Penalty: The vendor agrees that all equipment provided shall be operable no less than 98% of operational time. Each instrument at each site shall be computed separately.</w:t>
      </w:r>
    </w:p>
    <w:p w:rsidR="00204E6A" w:rsidRPr="0031061D" w:rsidP="00204E6A">
      <w:pPr>
        <w:pStyle w:val="ListParagraph"/>
        <w:spacing w:after="120" w:line="360" w:lineRule="auto"/>
        <w:ind w:left="2232"/>
        <w:rPr>
          <w:sz w:val="22"/>
          <w:szCs w:val="22"/>
        </w:rPr>
      </w:pPr>
      <w:r w:rsidRPr="0031061D">
        <w:rPr>
          <w:sz w:val="22"/>
          <w:szCs w:val="22"/>
        </w:rPr>
        <w:t>2.2.17.4.3.1    Operational time is defined in section 2.2.17.4.1.2. which includes hours and days per location.</w:t>
      </w:r>
    </w:p>
    <w:p w:rsidR="00204E6A" w:rsidRPr="0031061D" w:rsidP="00204E6A">
      <w:pPr>
        <w:pStyle w:val="ListParagraph"/>
        <w:spacing w:after="120" w:line="360" w:lineRule="auto"/>
        <w:ind w:left="2232"/>
        <w:rPr>
          <w:sz w:val="22"/>
          <w:szCs w:val="22"/>
        </w:rPr>
      </w:pPr>
      <w:r w:rsidRPr="0031061D">
        <w:rPr>
          <w:sz w:val="22"/>
          <w:szCs w:val="22"/>
        </w:rPr>
        <w:t>2.2.17.4.3.2    Downtime is defined as the inability to produce clinically acceptable results for any given parameters and will be computed from the time of initial notification            until the instrument is operational and produces clinically acceptable results.</w:t>
      </w:r>
    </w:p>
    <w:p w:rsidR="00204E6A" w:rsidRPr="0031061D" w:rsidP="00204E6A">
      <w:pPr>
        <w:pStyle w:val="ListParagraph"/>
        <w:spacing w:after="120" w:line="360" w:lineRule="auto"/>
        <w:ind w:left="2232"/>
        <w:rPr>
          <w:sz w:val="22"/>
          <w:szCs w:val="22"/>
        </w:rPr>
      </w:pPr>
      <w:r w:rsidRPr="0031061D">
        <w:rPr>
          <w:sz w:val="22"/>
          <w:szCs w:val="22"/>
        </w:rPr>
        <w:t>2.2.17.4.3.3     Scheduled maintenance is excluded from downtime.</w:t>
      </w:r>
    </w:p>
    <w:p w:rsidR="00204E6A" w:rsidRPr="0031061D" w:rsidP="00204E6A">
      <w:pPr>
        <w:pStyle w:val="ListParagraph"/>
        <w:spacing w:after="120" w:line="360" w:lineRule="auto"/>
        <w:ind w:left="2232"/>
        <w:rPr>
          <w:sz w:val="22"/>
          <w:szCs w:val="22"/>
        </w:rPr>
      </w:pPr>
      <w:r w:rsidRPr="0031061D">
        <w:rPr>
          <w:sz w:val="22"/>
          <w:szCs w:val="22"/>
        </w:rPr>
        <w:t>2.2.17.4.3.4     Vendor will provide a Downtime Summary report of instrumentation prior to the award of contract. Please provide a monthly report of how often and how long your                   Instruments are down historically. The report should</w:t>
      </w:r>
      <w:r>
        <w:rPr>
          <w:sz w:val="22"/>
          <w:szCs w:val="22"/>
        </w:rPr>
        <w:t xml:space="preserve"> identify which component (including </w:t>
      </w:r>
      <w:r>
        <w:rPr>
          <w:sz w:val="22"/>
          <w:szCs w:val="22"/>
        </w:rPr>
        <w:t>preanalytics</w:t>
      </w:r>
      <w:r>
        <w:rPr>
          <w:sz w:val="22"/>
          <w:szCs w:val="22"/>
        </w:rPr>
        <w:t xml:space="preserve">) and </w:t>
      </w:r>
      <w:r w:rsidRPr="0031061D">
        <w:rPr>
          <w:sz w:val="22"/>
          <w:szCs w:val="22"/>
        </w:rPr>
        <w:t>include:</w:t>
      </w:r>
      <w:r>
        <w:rPr>
          <w:sz w:val="22"/>
          <w:szCs w:val="22"/>
        </w:rPr>
        <w:t xml:space="preserve"> </w:t>
      </w:r>
    </w:p>
    <w:p w:rsidR="00204E6A" w:rsidRPr="0031061D" w:rsidP="00204E6A">
      <w:pPr>
        <w:pStyle w:val="ListParagraph"/>
        <w:spacing w:after="120" w:line="360" w:lineRule="auto"/>
        <w:ind w:left="2232"/>
        <w:rPr>
          <w:sz w:val="22"/>
          <w:szCs w:val="22"/>
        </w:rPr>
      </w:pPr>
      <w:r w:rsidRPr="0031061D">
        <w:rPr>
          <w:sz w:val="22"/>
          <w:szCs w:val="22"/>
        </w:rPr>
        <w:t xml:space="preserve">         2.2.17.4.3.4.1 Average number of downtimes monthly</w:t>
      </w:r>
    </w:p>
    <w:p w:rsidR="00204E6A" w:rsidRPr="0031061D" w:rsidP="00204E6A">
      <w:pPr>
        <w:pStyle w:val="ListParagraph"/>
        <w:spacing w:after="120" w:line="360" w:lineRule="auto"/>
        <w:ind w:left="2232"/>
        <w:rPr>
          <w:sz w:val="22"/>
          <w:szCs w:val="22"/>
        </w:rPr>
      </w:pPr>
      <w:r w:rsidRPr="0031061D">
        <w:rPr>
          <w:sz w:val="22"/>
          <w:szCs w:val="22"/>
        </w:rPr>
        <w:t xml:space="preserve">         2.2.17.4.3.4.2 Average hours of downtime monthly</w:t>
      </w:r>
    </w:p>
    <w:p w:rsidR="00204E6A" w:rsidRPr="0031061D" w:rsidP="00204E6A">
      <w:pPr>
        <w:pStyle w:val="ListParagraph"/>
        <w:spacing w:after="120" w:line="360" w:lineRule="auto"/>
        <w:ind w:left="2232"/>
        <w:rPr>
          <w:sz w:val="22"/>
          <w:szCs w:val="22"/>
        </w:rPr>
      </w:pPr>
      <w:r w:rsidRPr="0031061D">
        <w:rPr>
          <w:sz w:val="22"/>
          <w:szCs w:val="22"/>
        </w:rPr>
        <w:t xml:space="preserve">         2.2.17.4.3.4.3 Average number of downtime calls from customers per year.</w:t>
      </w:r>
    </w:p>
    <w:p w:rsidR="00204E6A" w:rsidRPr="0031061D" w:rsidP="00204E6A">
      <w:pPr>
        <w:pStyle w:val="ListParagraph"/>
        <w:spacing w:after="120" w:line="360" w:lineRule="auto"/>
        <w:ind w:left="2232"/>
        <w:rPr>
          <w:sz w:val="22"/>
          <w:szCs w:val="22"/>
          <w:highlight w:val="yellow"/>
        </w:rPr>
      </w:pPr>
      <w:r w:rsidRPr="0031061D">
        <w:rPr>
          <w:sz w:val="22"/>
          <w:szCs w:val="22"/>
        </w:rPr>
        <w:t xml:space="preserve">         2.2.17.4.3.4.4   Number of recalls for reagents or parts in a year.</w:t>
      </w:r>
    </w:p>
    <w:p w:rsidR="00204E6A" w:rsidRPr="0031061D" w:rsidP="00204E6A">
      <w:pPr>
        <w:pStyle w:val="ListParagraph"/>
        <w:numPr>
          <w:ilvl w:val="3"/>
          <w:numId w:val="3"/>
        </w:numPr>
        <w:spacing w:after="120" w:line="360" w:lineRule="auto"/>
        <w:rPr>
          <w:sz w:val="22"/>
          <w:szCs w:val="22"/>
        </w:rPr>
      </w:pPr>
      <w:r w:rsidRPr="0031061D">
        <w:rPr>
          <w:sz w:val="22"/>
          <w:szCs w:val="22"/>
        </w:rPr>
        <w:t>Upgrades - The Contractor shall provide upgrades to both the equipment hardware and software in order to maintain the integrity of the system and the state-of –the art technology, at no additional charge to the Government. These shall be provided as they become commercially available and at the same time as they are being provided to commercial customers.  This requirement only applies to “system upgrades” that enhance the model of equipment being offered, i.e. new version of software, correction of hardware defect, upgrade offered to commercial customers at no additional charge, upgrade to replace model of equipment no longer Contractor supported, etc.  This does not refer to replacing the original piece of equipment provided under the BPA; however, it does refer to significant changes in the hardware operational capability.</w:t>
      </w:r>
    </w:p>
    <w:p w:rsidR="00204E6A" w:rsidRPr="0031061D" w:rsidP="00204E6A">
      <w:pPr>
        <w:pStyle w:val="ListParagraph"/>
        <w:numPr>
          <w:ilvl w:val="3"/>
          <w:numId w:val="3"/>
        </w:numPr>
        <w:spacing w:after="120" w:line="360" w:lineRule="auto"/>
        <w:rPr>
          <w:sz w:val="22"/>
          <w:szCs w:val="22"/>
        </w:rPr>
      </w:pPr>
      <w:r w:rsidRPr="0031061D">
        <w:rPr>
          <w:sz w:val="22"/>
          <w:szCs w:val="22"/>
        </w:rPr>
        <w:t>Ancillary support equipment - The Contractor shall provide, install and maintain through the life of the BPA, as indicated, any and all ancillary support equipment to fully operate the analyzer as defined in these specifications, e.g. cabinetry to support/house the analyzer (if necessary), water systems (including consumable polishers, filters, preventative maintenance and repair, etc.), printers and universal interface equipment, UPS, etc.  In addition, the Contractor shall include all ancillary components that are customarily sold or provided with the model of equipment proposed, e.g. starter kits, tables/stands, etc.</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Characterization of waste – The Contractor shall provide documentation that it has characterized the hazardous nature of all wastes produced by all equipment, devices, reagents, and discharges in accordance with the requirements of the Code of Federal Regulations Title 40 “Protection of the Environment” Part 261 et seq. and applicable state and local requirements.  Documentation shall include a description of the characteristics of the hazardous waste produced as a byproduct of the instrument operations, Safety Data Sheets (SDS) meeting the requirements of the Occupational Safety and Health Administration (OSHA) and Environmental Protection Agency (EPA), the analytical process used to determine the hazardous nature and characteristics of the waste, and the analytical test results.  Testing of hazardous waste is to be done in accordance with testing protocol specified for each individual waste as described in the Code of Federal Regulations Title 40 to make a determination if the waste is a hazardous waste or otherwise regulated.  </w:t>
      </w:r>
    </w:p>
    <w:p w:rsidR="00204E6A" w:rsidRPr="0031061D" w:rsidP="00204E6A">
      <w:pPr>
        <w:pStyle w:val="ListParagraph"/>
        <w:numPr>
          <w:ilvl w:val="4"/>
          <w:numId w:val="3"/>
        </w:numPr>
        <w:spacing w:after="120" w:line="360" w:lineRule="auto"/>
        <w:rPr>
          <w:sz w:val="22"/>
          <w:szCs w:val="22"/>
        </w:rPr>
      </w:pPr>
      <w:r w:rsidRPr="0031061D">
        <w:rPr>
          <w:sz w:val="22"/>
          <w:szCs w:val="22"/>
        </w:rPr>
        <w:t>The determination and description shall address the following:</w:t>
      </w:r>
    </w:p>
    <w:p w:rsidR="00204E6A" w:rsidRPr="0031061D" w:rsidP="00204E6A">
      <w:pPr>
        <w:pStyle w:val="ListParagraph"/>
        <w:numPr>
          <w:ilvl w:val="5"/>
          <w:numId w:val="3"/>
        </w:numPr>
        <w:spacing w:after="120" w:line="360" w:lineRule="auto"/>
        <w:rPr>
          <w:sz w:val="22"/>
          <w:szCs w:val="22"/>
        </w:rPr>
      </w:pPr>
      <w:r w:rsidRPr="0031061D">
        <w:rPr>
          <w:sz w:val="22"/>
          <w:szCs w:val="22"/>
        </w:rPr>
        <w:t>Waste toxicity (Reference 40 CFR §261.11 and 40 CFR §261.24)</w:t>
      </w:r>
    </w:p>
    <w:p w:rsidR="00204E6A" w:rsidRPr="0031061D" w:rsidP="00204E6A">
      <w:pPr>
        <w:pStyle w:val="ListParagraph"/>
        <w:numPr>
          <w:ilvl w:val="5"/>
          <w:numId w:val="3"/>
        </w:numPr>
        <w:spacing w:after="120" w:line="360" w:lineRule="auto"/>
        <w:rPr>
          <w:sz w:val="22"/>
          <w:szCs w:val="22"/>
        </w:rPr>
      </w:pPr>
      <w:r w:rsidRPr="0031061D">
        <w:rPr>
          <w:sz w:val="22"/>
          <w:szCs w:val="22"/>
        </w:rPr>
        <w:t>Waste ignitability (Reference 40 CFR §261.21)</w:t>
      </w:r>
    </w:p>
    <w:p w:rsidR="00204E6A" w:rsidRPr="0031061D" w:rsidP="00204E6A">
      <w:pPr>
        <w:pStyle w:val="ListParagraph"/>
        <w:numPr>
          <w:ilvl w:val="5"/>
          <w:numId w:val="3"/>
        </w:numPr>
        <w:spacing w:after="120" w:line="360" w:lineRule="auto"/>
        <w:rPr>
          <w:sz w:val="22"/>
          <w:szCs w:val="22"/>
        </w:rPr>
      </w:pPr>
      <w:r w:rsidRPr="0031061D">
        <w:rPr>
          <w:sz w:val="22"/>
          <w:szCs w:val="22"/>
        </w:rPr>
        <w:t>Waste corrosivity (Reference 40 CFR §261.22)</w:t>
      </w:r>
    </w:p>
    <w:p w:rsidR="00204E6A" w:rsidRPr="0031061D" w:rsidP="00204E6A">
      <w:pPr>
        <w:pStyle w:val="ListParagraph"/>
        <w:numPr>
          <w:ilvl w:val="5"/>
          <w:numId w:val="3"/>
        </w:numPr>
        <w:spacing w:after="120" w:line="360" w:lineRule="auto"/>
        <w:rPr>
          <w:sz w:val="22"/>
          <w:szCs w:val="22"/>
        </w:rPr>
      </w:pPr>
      <w:r w:rsidRPr="0031061D">
        <w:rPr>
          <w:sz w:val="22"/>
          <w:szCs w:val="22"/>
        </w:rPr>
        <w:t xml:space="preserve">Waste reactivity (Reference 40 CFR §261.23)  </w:t>
      </w:r>
    </w:p>
    <w:p w:rsidR="00204E6A" w:rsidRPr="0031061D" w:rsidP="00204E6A">
      <w:pPr>
        <w:pStyle w:val="ListParagraph"/>
        <w:numPr>
          <w:ilvl w:val="5"/>
          <w:numId w:val="3"/>
        </w:numPr>
        <w:spacing w:after="120" w:line="360" w:lineRule="auto"/>
        <w:rPr>
          <w:sz w:val="22"/>
          <w:szCs w:val="22"/>
        </w:rPr>
      </w:pPr>
      <w:r w:rsidRPr="0031061D">
        <w:rPr>
          <w:sz w:val="22"/>
          <w:szCs w:val="22"/>
        </w:rPr>
        <w:t>Hazardous waste from non-specific sources (F-listed) (Reference 40 CFR §261.31)</w:t>
      </w:r>
    </w:p>
    <w:p w:rsidR="00204E6A" w:rsidRPr="0031061D" w:rsidP="00204E6A">
      <w:pPr>
        <w:pStyle w:val="ListParagraph"/>
        <w:numPr>
          <w:ilvl w:val="5"/>
          <w:numId w:val="3"/>
        </w:numPr>
        <w:spacing w:after="120" w:line="360" w:lineRule="auto"/>
        <w:rPr>
          <w:sz w:val="22"/>
          <w:szCs w:val="22"/>
        </w:rPr>
      </w:pPr>
      <w:r w:rsidRPr="0031061D">
        <w:rPr>
          <w:sz w:val="22"/>
          <w:szCs w:val="22"/>
        </w:rPr>
        <w:t xml:space="preserve">Discarded commercial products (acutely toxic or P-listed and toxic or U-listed)              </w:t>
      </w:r>
    </w:p>
    <w:p w:rsidR="00204E6A" w:rsidRPr="0031061D" w:rsidP="00204E6A">
      <w:pPr>
        <w:pStyle w:val="ListParagraph"/>
        <w:spacing w:after="120" w:line="360" w:lineRule="auto"/>
        <w:ind w:left="2736"/>
        <w:rPr>
          <w:sz w:val="22"/>
          <w:szCs w:val="22"/>
        </w:rPr>
      </w:pPr>
      <w:r w:rsidRPr="0031061D">
        <w:rPr>
          <w:sz w:val="22"/>
          <w:szCs w:val="22"/>
        </w:rPr>
        <w:t xml:space="preserve">                      (Reference 40 CFR §261.33)</w:t>
      </w:r>
    </w:p>
    <w:p w:rsidR="00204E6A" w:rsidRPr="0031061D" w:rsidP="00204E6A">
      <w:pPr>
        <w:pStyle w:val="ListParagraph"/>
        <w:numPr>
          <w:ilvl w:val="5"/>
          <w:numId w:val="3"/>
        </w:numPr>
        <w:spacing w:after="120" w:line="360" w:lineRule="auto"/>
        <w:rPr>
          <w:sz w:val="22"/>
          <w:szCs w:val="22"/>
        </w:rPr>
      </w:pPr>
      <w:r w:rsidRPr="0031061D">
        <w:rPr>
          <w:sz w:val="22"/>
          <w:szCs w:val="22"/>
        </w:rPr>
        <w:t>Solid Waste (Reference 40 CFR §261.2)</w:t>
      </w:r>
    </w:p>
    <w:p w:rsidR="00204E6A" w:rsidRPr="0031061D" w:rsidP="00204E6A">
      <w:pPr>
        <w:pStyle w:val="ListParagraph"/>
        <w:numPr>
          <w:ilvl w:val="5"/>
          <w:numId w:val="3"/>
        </w:numPr>
        <w:spacing w:after="120" w:line="360" w:lineRule="auto"/>
        <w:rPr>
          <w:sz w:val="22"/>
          <w:szCs w:val="22"/>
        </w:rPr>
      </w:pPr>
      <w:r w:rsidRPr="0031061D">
        <w:rPr>
          <w:sz w:val="22"/>
          <w:szCs w:val="22"/>
        </w:rPr>
        <w:t>Exclusions (Reference 40 CFR §261.4)</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The contractor will provide written instructions and training material to ensure VHA laboratory staff are trained as needed to properly operate devices with special emphasis to managing and disposing of hazardous waste in accordance with EPA and state requirements.  Additionally, the training provided by the contractor must fulfill Resource Conservation and Recovery Act (RCRA) requirements for training as applicable to devices.  </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Contractor shall provide a description of all wastes the process or equipment may discharge so that the facility can determine whether the discharge meets Local Publicly Owned Treatment Works (POTW), State and Federal </w:t>
      </w:r>
      <w:r w:rsidRPr="0031061D">
        <w:rPr>
          <w:sz w:val="22"/>
          <w:szCs w:val="22"/>
        </w:rPr>
        <w:t xml:space="preserve">discharge requirements.  At a minimum, the characteristics of ignitability, corrosivity, reactivity and toxicity as defined in 40 CFR §261 must be determined and documented.  Any mercury containing reagents must be identified in any concentrations.  All test results shall be provided.  All listed chemicals (F, U, K and P) found in 40 CFR §261 shall be provided in product information and their concentrations documented.  For those materials with a positive hazardous waste determination, a mechanism for the laboratory to meet local discharge requirements (i.e. mercury, </w:t>
      </w:r>
      <w:r w:rsidRPr="0031061D">
        <w:rPr>
          <w:sz w:val="22"/>
          <w:szCs w:val="22"/>
        </w:rPr>
        <w:t>thimerosol</w:t>
      </w:r>
      <w:r w:rsidRPr="0031061D">
        <w:rPr>
          <w:sz w:val="22"/>
          <w:szCs w:val="22"/>
        </w:rPr>
        <w:t xml:space="preserve"> and formaldehyde) must be developed and SDS sheets must be provided in advance for review. At a minimum, documentation shall include, but not be limited to the concentration/measures of the elements and parameters listed below and must be included with vendor response:</w:t>
      </w:r>
    </w:p>
    <w:p w:rsidR="00204E6A" w:rsidRPr="0031061D" w:rsidP="00204E6A">
      <w:pPr>
        <w:pStyle w:val="ListParagraph"/>
        <w:numPr>
          <w:ilvl w:val="5"/>
          <w:numId w:val="3"/>
        </w:numPr>
        <w:spacing w:after="120" w:line="360" w:lineRule="auto"/>
        <w:rPr>
          <w:sz w:val="22"/>
          <w:szCs w:val="22"/>
        </w:rPr>
      </w:pPr>
      <w:r w:rsidRPr="0031061D">
        <w:rPr>
          <w:sz w:val="22"/>
          <w:szCs w:val="22"/>
        </w:rPr>
        <w:t>Barium</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Cadmium</w:t>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Chromium</w:t>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Copper</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Cyanide</w:t>
      </w:r>
      <w:r>
        <w:rPr>
          <w:sz w:val="22"/>
          <w:szCs w:val="22"/>
        </w:rPr>
        <w:tab/>
      </w:r>
      <w:r w:rsidRPr="0031061D">
        <w:rPr>
          <w:sz w:val="22"/>
          <w:szCs w:val="22"/>
        </w:rPr>
        <w:t>(Total)</w:t>
      </w:r>
    </w:p>
    <w:p w:rsidR="00204E6A" w:rsidRPr="0031061D" w:rsidP="00204E6A">
      <w:pPr>
        <w:pStyle w:val="ListParagraph"/>
        <w:numPr>
          <w:ilvl w:val="5"/>
          <w:numId w:val="3"/>
        </w:numPr>
        <w:spacing w:after="120" w:line="360" w:lineRule="auto"/>
        <w:rPr>
          <w:sz w:val="22"/>
          <w:szCs w:val="22"/>
        </w:rPr>
      </w:pPr>
      <w:r w:rsidRPr="0031061D">
        <w:rPr>
          <w:sz w:val="22"/>
          <w:szCs w:val="22"/>
        </w:rPr>
        <w:t>Lead</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Mercury</w:t>
      </w:r>
      <w:r>
        <w:rPr>
          <w:sz w:val="22"/>
          <w:szCs w:val="22"/>
        </w:rPr>
        <w:tab/>
      </w:r>
      <w:r w:rsidRPr="0031061D">
        <w:rPr>
          <w:sz w:val="22"/>
          <w:szCs w:val="22"/>
        </w:rPr>
        <w:t>(Total)</w:t>
      </w:r>
    </w:p>
    <w:p w:rsidR="00204E6A" w:rsidRPr="0031061D" w:rsidP="00204E6A">
      <w:pPr>
        <w:pStyle w:val="ListParagraph"/>
        <w:numPr>
          <w:ilvl w:val="5"/>
          <w:numId w:val="3"/>
        </w:numPr>
        <w:spacing w:after="120" w:line="360" w:lineRule="auto"/>
        <w:rPr>
          <w:sz w:val="22"/>
          <w:szCs w:val="22"/>
        </w:rPr>
      </w:pPr>
      <w:r w:rsidRPr="0031061D">
        <w:rPr>
          <w:sz w:val="22"/>
          <w:szCs w:val="22"/>
        </w:rPr>
        <w:t>Nickel</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Silver</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Zinc</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Arsenic</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sidRPr="0031061D">
        <w:rPr>
          <w:sz w:val="22"/>
          <w:szCs w:val="22"/>
        </w:rPr>
        <w:t>Selenium</w:t>
      </w:r>
      <w:r w:rsidRPr="0031061D">
        <w:rPr>
          <w:sz w:val="22"/>
          <w:szCs w:val="22"/>
        </w:rPr>
        <w:tab/>
        <w:t>(Total)</w:t>
      </w:r>
    </w:p>
    <w:p w:rsidR="00204E6A" w:rsidP="00204E6A">
      <w:pPr>
        <w:pStyle w:val="ListParagraph"/>
        <w:numPr>
          <w:ilvl w:val="5"/>
          <w:numId w:val="3"/>
        </w:numPr>
        <w:spacing w:after="120" w:line="360" w:lineRule="auto"/>
        <w:rPr>
          <w:sz w:val="22"/>
          <w:szCs w:val="22"/>
        </w:rPr>
      </w:pPr>
      <w:r w:rsidRPr="0031061D">
        <w:rPr>
          <w:sz w:val="22"/>
          <w:szCs w:val="22"/>
        </w:rPr>
        <w:t>Tin</w:t>
      </w:r>
      <w:r w:rsidRPr="0031061D">
        <w:rPr>
          <w:sz w:val="22"/>
          <w:szCs w:val="22"/>
        </w:rPr>
        <w:tab/>
      </w:r>
      <w:r w:rsidRPr="0031061D">
        <w:rPr>
          <w:sz w:val="22"/>
          <w:szCs w:val="22"/>
        </w:rPr>
        <w:tab/>
        <w:t>(Total)</w:t>
      </w:r>
    </w:p>
    <w:p w:rsidR="00204E6A" w:rsidRPr="0031061D" w:rsidP="00204E6A">
      <w:pPr>
        <w:pStyle w:val="ListParagraph"/>
        <w:numPr>
          <w:ilvl w:val="5"/>
          <w:numId w:val="3"/>
        </w:numPr>
        <w:spacing w:after="120" w:line="360" w:lineRule="auto"/>
        <w:rPr>
          <w:sz w:val="22"/>
          <w:szCs w:val="22"/>
        </w:rPr>
      </w:pPr>
      <w:r>
        <w:rPr>
          <w:sz w:val="22"/>
          <w:szCs w:val="22"/>
        </w:rPr>
        <w:t xml:space="preserve">Sodium </w:t>
      </w:r>
      <w:r>
        <w:rPr>
          <w:sz w:val="22"/>
          <w:szCs w:val="22"/>
        </w:rPr>
        <w:t>Azide</w:t>
      </w:r>
      <w:r>
        <w:rPr>
          <w:sz w:val="22"/>
          <w:szCs w:val="22"/>
        </w:rPr>
        <w:t xml:space="preserve">   (Total)</w:t>
      </w:r>
    </w:p>
    <w:p w:rsidR="00204E6A" w:rsidRPr="0031061D" w:rsidP="00204E6A">
      <w:pPr>
        <w:pStyle w:val="ListParagraph"/>
        <w:numPr>
          <w:ilvl w:val="5"/>
          <w:numId w:val="3"/>
        </w:numPr>
        <w:spacing w:after="120" w:line="360" w:lineRule="auto"/>
        <w:rPr>
          <w:sz w:val="22"/>
          <w:szCs w:val="22"/>
        </w:rPr>
      </w:pPr>
      <w:r w:rsidRPr="0031061D">
        <w:rPr>
          <w:sz w:val="22"/>
          <w:szCs w:val="22"/>
        </w:rPr>
        <w:t>pH</w:t>
      </w:r>
    </w:p>
    <w:p w:rsidR="00204E6A" w:rsidRPr="0031061D" w:rsidP="00204E6A">
      <w:pPr>
        <w:pStyle w:val="ListParagraph"/>
        <w:numPr>
          <w:ilvl w:val="5"/>
          <w:numId w:val="3"/>
        </w:numPr>
        <w:spacing w:after="120" w:line="360" w:lineRule="auto"/>
        <w:rPr>
          <w:sz w:val="22"/>
          <w:szCs w:val="22"/>
        </w:rPr>
      </w:pPr>
      <w:r w:rsidRPr="0031061D">
        <w:rPr>
          <w:sz w:val="22"/>
          <w:szCs w:val="22"/>
        </w:rPr>
        <w:t xml:space="preserve">Flash point </w:t>
      </w:r>
      <w:r w:rsidRPr="0031061D">
        <w:rPr>
          <w:sz w:val="22"/>
          <w:szCs w:val="22"/>
        </w:rPr>
        <w:tab/>
        <w:t>(to higher than 200F)</w:t>
      </w:r>
    </w:p>
    <w:p w:rsidR="00204E6A" w:rsidRPr="0031061D" w:rsidP="00204E6A">
      <w:pPr>
        <w:pStyle w:val="ListParagraph"/>
        <w:numPr>
          <w:ilvl w:val="5"/>
          <w:numId w:val="3"/>
        </w:numPr>
        <w:spacing w:after="120" w:line="360" w:lineRule="auto"/>
        <w:rPr>
          <w:sz w:val="22"/>
          <w:szCs w:val="22"/>
        </w:rPr>
      </w:pPr>
      <w:r w:rsidRPr="0031061D">
        <w:rPr>
          <w:sz w:val="22"/>
          <w:szCs w:val="22"/>
        </w:rPr>
        <w:t>BOD; biochemical oxygen demand</w:t>
      </w:r>
    </w:p>
    <w:p w:rsidR="00204E6A" w:rsidRPr="0031061D" w:rsidP="00204E6A">
      <w:pPr>
        <w:pStyle w:val="ListParagraph"/>
        <w:numPr>
          <w:ilvl w:val="4"/>
          <w:numId w:val="3"/>
        </w:numPr>
        <w:spacing w:after="120" w:line="360" w:lineRule="auto"/>
        <w:rPr>
          <w:sz w:val="22"/>
          <w:szCs w:val="22"/>
        </w:rPr>
      </w:pPr>
      <w:r w:rsidRPr="0031061D">
        <w:rPr>
          <w:sz w:val="22"/>
          <w:szCs w:val="22"/>
        </w:rPr>
        <w:t>The documentation the contractor provides will be used to work with the VAMC and the public and/or private organization (e.g., POTW) to determine whether or not the waste from each device can legally be disposed of via the sewerage system</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Implementation/transition timeframe - The implementation of the services/requirements described in this solicitation shall be completed no later than 90 days after the award of the BPA. This timeline is based on a reasonable attempt of the Contractor to complete all of the necessary implementation requirements within the stated timeframe.  Contractor shall not be penalized for implementation timelines that extend beyond the </w:t>
      </w:r>
      <w:r w:rsidRPr="0031061D">
        <w:rPr>
          <w:sz w:val="22"/>
          <w:szCs w:val="22"/>
        </w:rPr>
        <w:fldChar w:fldCharType="begin"/>
      </w:r>
      <w:r w:rsidRPr="0031061D">
        <w:rPr>
          <w:sz w:val="22"/>
          <w:szCs w:val="22"/>
        </w:rPr>
        <w:instrText xml:space="preserve"> DOCVARIABLE  var11  \* MERGEFORMAT </w:instrText>
      </w:r>
      <w:r w:rsidRPr="0031061D">
        <w:rPr>
          <w:sz w:val="22"/>
          <w:szCs w:val="22"/>
        </w:rPr>
        <w:fldChar w:fldCharType="separate"/>
      </w:r>
      <w:r w:rsidRPr="0031061D">
        <w:rPr>
          <w:sz w:val="22"/>
          <w:szCs w:val="22"/>
        </w:rPr>
        <w:fldChar w:fldCharType="end"/>
      </w:r>
      <w:r w:rsidRPr="0031061D">
        <w:rPr>
          <w:sz w:val="22"/>
          <w:szCs w:val="22"/>
        </w:rPr>
        <w:t xml:space="preserve"> day timeframe, if the extension is through no fault of the Contractor and is a result of delays due to the Government.</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Upon award of a BPA, the transition period for the awarded BPA to have all equipment and peripherals installed and operational shall be from date of award through </w:t>
      </w:r>
      <w:r w:rsidRPr="0031061D">
        <w:rPr>
          <w:sz w:val="22"/>
          <w:szCs w:val="22"/>
        </w:rPr>
        <w:fldChar w:fldCharType="begin"/>
      </w:r>
      <w:r w:rsidRPr="0031061D">
        <w:rPr>
          <w:sz w:val="22"/>
          <w:szCs w:val="22"/>
        </w:rPr>
        <w:instrText xml:space="preserve"> DOCVARIABLE  var11  \* MERGEFORMAT </w:instrText>
      </w:r>
      <w:r w:rsidRPr="0031061D">
        <w:rPr>
          <w:sz w:val="22"/>
          <w:szCs w:val="22"/>
        </w:rPr>
        <w:fldChar w:fldCharType="separate"/>
      </w:r>
      <w:r w:rsidRPr="0031061D">
        <w:rPr>
          <w:sz w:val="22"/>
          <w:szCs w:val="22"/>
        </w:rPr>
        <w:fldChar w:fldCharType="end"/>
      </w:r>
      <w:r w:rsidRPr="0031061D">
        <w:rPr>
          <w:sz w:val="22"/>
          <w:szCs w:val="22"/>
        </w:rPr>
        <w:t xml:space="preserve"> days.  During this same period, all initial training of VA personnel in the operation and maintenance of said award shall also be completed.</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Contractor shall provide with its quotation an implementation plan for installation of new equipment.  Contractor’s submitted plan shall not exceed </w:t>
      </w:r>
      <w:r w:rsidRPr="0031061D">
        <w:rPr>
          <w:sz w:val="22"/>
          <w:szCs w:val="22"/>
        </w:rPr>
        <w:fldChar w:fldCharType="begin"/>
      </w:r>
      <w:r w:rsidRPr="0031061D">
        <w:rPr>
          <w:sz w:val="22"/>
          <w:szCs w:val="22"/>
        </w:rPr>
        <w:instrText xml:space="preserve"> DOCVARIABLE  var11  \* MERGEFORMAT </w:instrText>
      </w:r>
      <w:r w:rsidRPr="0031061D">
        <w:rPr>
          <w:sz w:val="22"/>
          <w:szCs w:val="22"/>
        </w:rPr>
        <w:fldChar w:fldCharType="separate"/>
      </w:r>
      <w:r w:rsidRPr="0031061D">
        <w:rPr>
          <w:sz w:val="22"/>
          <w:szCs w:val="22"/>
        </w:rPr>
        <w:fldChar w:fldCharType="end"/>
      </w:r>
      <w:r w:rsidRPr="0031061D">
        <w:rPr>
          <w:sz w:val="22"/>
          <w:szCs w:val="22"/>
        </w:rPr>
        <w:t xml:space="preserve"> days for the transition of all services under the awarded BPA including installation and training of personnel, transition of all testing materials, reagents and supplies, etc., performance of all correlations and validations.  Failure of the Contractor to conform to the transition period shall be considered as sufficient cause to terminate BPA for cause under the Termination for Cause clause of the BPA. </w:t>
      </w:r>
    </w:p>
    <w:p w:rsidR="00204E6A" w:rsidRPr="0031061D" w:rsidP="00204E6A">
      <w:pPr>
        <w:pStyle w:val="ListParagraph"/>
        <w:numPr>
          <w:ilvl w:val="4"/>
          <w:numId w:val="3"/>
        </w:numPr>
        <w:spacing w:after="120" w:line="360" w:lineRule="auto"/>
        <w:rPr>
          <w:sz w:val="22"/>
          <w:szCs w:val="22"/>
        </w:rPr>
      </w:pPr>
      <w:r w:rsidRPr="0031061D">
        <w:rPr>
          <w:sz w:val="22"/>
          <w:szCs w:val="22"/>
        </w:rPr>
        <w:t xml:space="preserve">At the end of </w:t>
      </w:r>
      <w:r w:rsidRPr="0031061D">
        <w:rPr>
          <w:sz w:val="22"/>
          <w:szCs w:val="22"/>
        </w:rPr>
        <w:fldChar w:fldCharType="begin"/>
      </w:r>
      <w:r w:rsidRPr="0031061D">
        <w:rPr>
          <w:sz w:val="22"/>
          <w:szCs w:val="22"/>
        </w:rPr>
        <w:instrText xml:space="preserve"> DOCVARIABLE  var11  \* MERGEFORMAT </w:instrText>
      </w:r>
      <w:r w:rsidRPr="0031061D">
        <w:rPr>
          <w:sz w:val="22"/>
          <w:szCs w:val="22"/>
        </w:rPr>
        <w:fldChar w:fldCharType="separate"/>
      </w:r>
      <w:r w:rsidRPr="0031061D">
        <w:rPr>
          <w:sz w:val="22"/>
          <w:szCs w:val="22"/>
        </w:rPr>
        <w:fldChar w:fldCharType="end"/>
      </w:r>
      <w:r w:rsidRPr="0031061D">
        <w:rPr>
          <w:sz w:val="22"/>
          <w:szCs w:val="22"/>
        </w:rPr>
        <w:t xml:space="preserve"> days from award of the BPA, the awarded Contractor shall have full and sole responsibility for services under the awarded BPA.</w:t>
      </w:r>
    </w:p>
    <w:p w:rsidR="00204E6A" w:rsidRPr="0031061D" w:rsidP="00204E6A">
      <w:pPr>
        <w:pStyle w:val="ListParagraph"/>
        <w:numPr>
          <w:ilvl w:val="2"/>
          <w:numId w:val="3"/>
        </w:numPr>
        <w:spacing w:after="120" w:line="360" w:lineRule="auto"/>
        <w:rPr>
          <w:bCs/>
          <w:sz w:val="22"/>
          <w:szCs w:val="22"/>
        </w:rPr>
      </w:pPr>
      <w:r w:rsidRPr="0031061D">
        <w:rPr>
          <w:b/>
          <w:sz w:val="22"/>
          <w:szCs w:val="22"/>
        </w:rPr>
        <w:t xml:space="preserve">Standard and Quality of Performance- </w:t>
      </w:r>
      <w:r w:rsidRPr="0031061D">
        <w:rPr>
          <w:bCs/>
          <w:sz w:val="22"/>
          <w:szCs w:val="22"/>
        </w:rPr>
        <w:t xml:space="preserve">This paragraph establishes a standard of quality performance that shall be met before any equipment listed on the delivery order [or BPA] is accepted by the Government.  This also includes replacement, substitute instruments and instruments that are added or field modified after a system has demonstrated successful performance.  The acceptance period shall begin on the installation date.  It shall end when the equipment has met the standard of performance for a period of 30 consecutive calendar days by operating in conformance with the Contractor’s technical specification or as quoted in any </w:t>
      </w:r>
      <w:r w:rsidRPr="0031061D">
        <w:rPr>
          <w:sz w:val="22"/>
          <w:szCs w:val="22"/>
        </w:rPr>
        <w:t>BPA</w:t>
      </w:r>
      <w:r w:rsidRPr="0031061D">
        <w:rPr>
          <w:bCs/>
          <w:sz w:val="22"/>
          <w:szCs w:val="22"/>
        </w:rPr>
        <w:t xml:space="preserve"> at an effectiveness level of 95% or more.</w:t>
      </w:r>
    </w:p>
    <w:p w:rsidR="00204E6A" w:rsidRPr="0031061D" w:rsidP="00204E6A">
      <w:pPr>
        <w:pStyle w:val="ListParagraph"/>
        <w:numPr>
          <w:ilvl w:val="3"/>
          <w:numId w:val="3"/>
        </w:numPr>
        <w:spacing w:after="120" w:line="360" w:lineRule="auto"/>
        <w:rPr>
          <w:sz w:val="22"/>
          <w:szCs w:val="22"/>
        </w:rPr>
      </w:pPr>
      <w:r w:rsidRPr="0031061D">
        <w:rPr>
          <w:bCs/>
          <w:sz w:val="22"/>
          <w:szCs w:val="22"/>
        </w:rPr>
        <w:t>In the event that equipment does not meet the standard of performance during the initial 30 consecutive calendar days, the standard of performance tests shall continue a day-by-day basis until the standard of performance is met for a total of 30 consecutive days</w:t>
      </w:r>
      <w:r w:rsidRPr="0031061D">
        <w:rPr>
          <w:sz w:val="22"/>
          <w:szCs w:val="22"/>
        </w:rPr>
        <w:t>.</w:t>
      </w:r>
    </w:p>
    <w:p w:rsidR="00204E6A" w:rsidRPr="0031061D" w:rsidP="00204E6A">
      <w:pPr>
        <w:pStyle w:val="ListParagraph"/>
        <w:numPr>
          <w:ilvl w:val="3"/>
          <w:numId w:val="3"/>
        </w:numPr>
        <w:spacing w:after="120" w:line="360" w:lineRule="auto"/>
        <w:rPr>
          <w:bCs/>
          <w:sz w:val="22"/>
          <w:szCs w:val="22"/>
        </w:rPr>
      </w:pPr>
      <w:r w:rsidRPr="0031061D">
        <w:rPr>
          <w:bCs/>
          <w:sz w:val="22"/>
          <w:szCs w:val="22"/>
        </w:rPr>
        <w:t>If the equipment fails to meet the standard of performance after 90 calendar days from the installation date, the user may, at his/her option, request a replacement or terminate the order in accordance with the provisions of FAR 52.212-4 entitled “Termination for cause.”  (The Contractor shall receive revenue for tests reported during the 90-day acceptance period.)</w:t>
      </w:r>
    </w:p>
    <w:p w:rsidR="00204E6A" w:rsidRPr="0031061D" w:rsidP="00204E6A">
      <w:pPr>
        <w:pStyle w:val="ListParagraph"/>
        <w:numPr>
          <w:ilvl w:val="3"/>
          <w:numId w:val="3"/>
        </w:numPr>
        <w:spacing w:after="120" w:line="360" w:lineRule="auto"/>
        <w:rPr>
          <w:bCs/>
          <w:sz w:val="22"/>
          <w:szCs w:val="22"/>
        </w:rPr>
      </w:pPr>
      <w:r w:rsidRPr="0031061D">
        <w:rPr>
          <w:bCs/>
          <w:sz w:val="22"/>
          <w:szCs w:val="22"/>
        </w:rPr>
        <w:t>Operational use time for performance testing for a system is defined as the accumulated time during which the instrument is in actual use.  System failure downtime is that period when any instrument in the system is inoperable due to equipment failure.  Downtime for each incident shall start from the time the Government makes a bona fide attempt to contact the Contractor’s designated representative at the prearranged contact point until the system or instrument(s) is returned to the Government in proper operating condition.</w:t>
      </w:r>
    </w:p>
    <w:p w:rsidR="00204E6A" w:rsidRPr="0031061D" w:rsidP="00204E6A">
      <w:pPr>
        <w:pStyle w:val="ListParagraph"/>
        <w:numPr>
          <w:ilvl w:val="3"/>
          <w:numId w:val="3"/>
        </w:numPr>
        <w:spacing w:after="120" w:line="360" w:lineRule="auto"/>
        <w:rPr>
          <w:sz w:val="22"/>
          <w:szCs w:val="22"/>
        </w:rPr>
      </w:pPr>
      <w:r w:rsidRPr="0031061D">
        <w:rPr>
          <w:bCs/>
          <w:sz w:val="22"/>
          <w:szCs w:val="22"/>
        </w:rPr>
        <w:t xml:space="preserve">During the performance period for a system, a minimum of 100 hours of operational use time with productive or simulated work shall be required as a basis for computation of the effectiveness level.  However, in computing the effectiveness level, the actual number of operational use hours shall be used when in excess of the minimum of 100 hours.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The Government will maintain daily records to satisfy the requirements of the Standard and Quality of Performance section and shall notify the Contractor in writing of the date of the first day of the successful period of operation.  Operations use time and downtime shall be measured in hours and whole minutes. </w:t>
      </w:r>
    </w:p>
    <w:p w:rsidR="00204E6A" w:rsidRPr="0031061D" w:rsidP="00204E6A">
      <w:pPr>
        <w:pStyle w:val="ListParagraph"/>
        <w:numPr>
          <w:ilvl w:val="3"/>
          <w:numId w:val="3"/>
        </w:numPr>
        <w:spacing w:after="120" w:line="360" w:lineRule="auto"/>
        <w:rPr>
          <w:sz w:val="22"/>
          <w:szCs w:val="22"/>
        </w:rPr>
      </w:pPr>
      <w:r w:rsidRPr="0031061D">
        <w:rPr>
          <w:sz w:val="22"/>
          <w:szCs w:val="22"/>
        </w:rPr>
        <w:t xml:space="preserve">During the term of the BPA, should the repair record of any individual piece of laboratory equipment reflect a </w:t>
      </w:r>
      <w:r w:rsidRPr="00656A56">
        <w:rPr>
          <w:sz w:val="22"/>
          <w:szCs w:val="22"/>
        </w:rPr>
        <w:t xml:space="preserve">downtime of </w:t>
      </w:r>
      <w:r w:rsidRPr="00DD7CD8">
        <w:rPr>
          <w:sz w:val="22"/>
          <w:szCs w:val="22"/>
        </w:rPr>
        <w:t>10%</w:t>
      </w:r>
      <w:r w:rsidRPr="0031061D">
        <w:rPr>
          <w:sz w:val="22"/>
          <w:szCs w:val="22"/>
        </w:rPr>
        <w:t xml:space="preserve"> or greater of the normal working days in one calendar month, a determination shall be made by the COR and/or contracting officer to replace the malfunctioning equipment with new equipment</w:t>
      </w:r>
      <w:r>
        <w:rPr>
          <w:sz w:val="22"/>
          <w:szCs w:val="22"/>
        </w:rPr>
        <w:t xml:space="preserve">. </w:t>
      </w:r>
      <w:r w:rsidRPr="0031061D">
        <w:rPr>
          <w:sz w:val="22"/>
          <w:szCs w:val="22"/>
        </w:rPr>
        <w:t xml:space="preserve">Each instrument provided by the Contractor shall maintain an uptime of 98% in each month of the term of the agreement for equipment.   The same terms and conditions apply to ancillary/support equipment provided under this BPA, i.e., water system UPS, etc. </w:t>
      </w:r>
      <w:r>
        <w:rPr>
          <w:sz w:val="22"/>
          <w:szCs w:val="22"/>
        </w:rPr>
        <w:t xml:space="preserve">   </w:t>
      </w:r>
    </w:p>
    <w:p w:rsidR="00204E6A" w:rsidRPr="0031061D" w:rsidP="00204E6A">
      <w:pPr>
        <w:pStyle w:val="ListParagraph"/>
        <w:numPr>
          <w:ilvl w:val="2"/>
          <w:numId w:val="3"/>
        </w:numPr>
        <w:tabs>
          <w:tab w:val="left" w:pos="-90"/>
        </w:tabs>
        <w:spacing w:after="120" w:line="360" w:lineRule="auto"/>
        <w:rPr>
          <w:sz w:val="22"/>
          <w:szCs w:val="22"/>
        </w:rPr>
      </w:pPr>
      <w:r w:rsidRPr="0031061D">
        <w:rPr>
          <w:b/>
          <w:sz w:val="22"/>
          <w:szCs w:val="22"/>
        </w:rPr>
        <w:t xml:space="preserve">Government’s Responsibility- </w:t>
      </w:r>
      <w:r w:rsidRPr="0031061D">
        <w:rPr>
          <w:bCs/>
          <w:sz w:val="22"/>
          <w:szCs w:val="22"/>
        </w:rPr>
        <w:t xml:space="preserve">The user will perform </w:t>
      </w:r>
      <w:r w:rsidRPr="0031061D">
        <w:rPr>
          <w:sz w:val="22"/>
          <w:szCs w:val="22"/>
        </w:rPr>
        <w:t>routine</w:t>
      </w:r>
      <w:r w:rsidRPr="0031061D">
        <w:rPr>
          <w:bCs/>
          <w:sz w:val="22"/>
          <w:szCs w:val="22"/>
        </w:rPr>
        <w:t xml:space="preserve"> maintenance and cleaning as required in the manufacturer’s operation and maintenance instructions. The user shall maintain appropriate records to satisfy the requirements of this paragraph.</w:t>
      </w:r>
    </w:p>
    <w:p w:rsidR="00204E6A" w:rsidRPr="0031061D" w:rsidP="00204E6A">
      <w:pPr>
        <w:pStyle w:val="ListParagraph"/>
        <w:numPr>
          <w:ilvl w:val="2"/>
          <w:numId w:val="3"/>
        </w:numPr>
        <w:spacing w:after="120" w:line="360" w:lineRule="auto"/>
        <w:rPr>
          <w:bCs/>
          <w:sz w:val="22"/>
          <w:szCs w:val="22"/>
        </w:rPr>
      </w:pPr>
      <w:r w:rsidRPr="0031061D">
        <w:rPr>
          <w:b/>
          <w:sz w:val="22"/>
          <w:szCs w:val="22"/>
        </w:rPr>
        <w:t xml:space="preserve">Ownership of Equipment- </w:t>
      </w:r>
      <w:r w:rsidRPr="0031061D">
        <w:rPr>
          <w:bCs/>
          <w:sz w:val="22"/>
          <w:szCs w:val="22"/>
        </w:rPr>
        <w:t xml:space="preserve">Title to the equipment shall remain with the Contractor.  All accessories (unused consumables, etc.) furnished by the Contractor shall accompany the equipment </w:t>
      </w:r>
      <w:r w:rsidRPr="0031061D">
        <w:rPr>
          <w:bCs/>
          <w:sz w:val="22"/>
          <w:szCs w:val="22"/>
        </w:rPr>
        <w:t xml:space="preserve">when returned to the Contractor.  The Contractor, upon expiration of order(s), at termination and/or replacement of equipment, shall remove the equipment.  The Contractor shall disconnect the analyzer (gas, water, air, etc.) and shall be responsible for all packing and shipping required to remove the analyzer. </w:t>
      </w:r>
    </w:p>
    <w:p w:rsidR="00204E6A" w:rsidRPr="0031061D" w:rsidP="00204E6A">
      <w:pPr>
        <w:pStyle w:val="Default"/>
        <w:numPr>
          <w:ilvl w:val="2"/>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The Contractor will identify if removable media is required to perform their duties. The Biomedical Engineering Department will ensure the removable media is scanned with anti-virus software running current virus definitions prior to connection to any medical device/system. Any Contractor with patient sensitive information that is imported into the removable media device for any reason must purge all patient sensitive information prior to departure from the facility.</w:t>
      </w:r>
    </w:p>
    <w:p w:rsidR="00204E6A" w:rsidRPr="0031061D" w:rsidP="00204E6A">
      <w:pPr>
        <w:pStyle w:val="Default"/>
        <w:numPr>
          <w:ilvl w:val="2"/>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Prior to termination or completion of this BPA, Contractor/subcontractor must not destroy information received from VA, or gathered/created by the Contractor in the course of performing this BPA without prior written approval by the VA. Any data destruction done on behalf of VA by a Contractor/subcontractor must be done in accordance with National Archives and Records Administration (NARA) requirements as outlined in VA Directive 6300, </w:t>
      </w:r>
      <w:r w:rsidRPr="0031061D">
        <w:rPr>
          <w:rFonts w:ascii="Times New Roman" w:hAnsi="Times New Roman" w:cs="Times New Roman"/>
          <w:i/>
          <w:iCs/>
          <w:color w:val="auto"/>
          <w:sz w:val="22"/>
          <w:szCs w:val="22"/>
        </w:rPr>
        <w:t xml:space="preserve">Records and Information Management </w:t>
      </w:r>
      <w:r w:rsidRPr="0031061D">
        <w:rPr>
          <w:rFonts w:ascii="Times New Roman" w:hAnsi="Times New Roman" w:cs="Times New Roman"/>
          <w:color w:val="auto"/>
          <w:sz w:val="22"/>
          <w:szCs w:val="22"/>
        </w:rPr>
        <w:t xml:space="preserve">and its Handbook 6300.1 </w:t>
      </w:r>
      <w:r w:rsidRPr="0031061D">
        <w:rPr>
          <w:rFonts w:ascii="Times New Roman" w:hAnsi="Times New Roman" w:cs="Times New Roman"/>
          <w:i/>
          <w:iCs/>
          <w:color w:val="auto"/>
          <w:sz w:val="22"/>
          <w:szCs w:val="22"/>
        </w:rPr>
        <w:t>Records Management Procedures</w:t>
      </w:r>
      <w:r w:rsidRPr="0031061D">
        <w:rPr>
          <w:rFonts w:ascii="Times New Roman" w:hAnsi="Times New Roman" w:cs="Times New Roman"/>
          <w:color w:val="auto"/>
          <w:sz w:val="22"/>
          <w:szCs w:val="22"/>
        </w:rPr>
        <w:t xml:space="preserve">, applicable VA Records Control Schedules, and VA Handbook 6500.1, </w:t>
      </w:r>
      <w:r w:rsidRPr="0031061D">
        <w:rPr>
          <w:rFonts w:ascii="Times New Roman" w:hAnsi="Times New Roman" w:cs="Times New Roman"/>
          <w:i/>
          <w:iCs/>
          <w:color w:val="auto"/>
          <w:sz w:val="22"/>
          <w:szCs w:val="22"/>
        </w:rPr>
        <w:t>Electronic Media Sanitization</w:t>
      </w:r>
      <w:r w:rsidRPr="0031061D">
        <w:rPr>
          <w:rFonts w:ascii="Times New Roman" w:hAnsi="Times New Roman" w:cs="Times New Roman"/>
          <w:color w:val="auto"/>
          <w:sz w:val="22"/>
          <w:szCs w:val="22"/>
        </w:rPr>
        <w:t>. Self-certification by the Contractor that the data destruction requirements above have been met must be sent to the VA Contracting Officer within 30 days of termination or completion of the BPA.</w:t>
      </w:r>
    </w:p>
    <w:p w:rsidR="00204E6A" w:rsidRPr="0031061D" w:rsidP="00204E6A">
      <w:pPr>
        <w:pStyle w:val="Default"/>
        <w:numPr>
          <w:ilvl w:val="2"/>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All electronic storage media used on non-VA leased or non-VA owned IT equipment that is used to store, process, or access VA information must be handled in adherence with VA Handbook 6500.1, </w:t>
      </w:r>
      <w:r w:rsidRPr="0031061D">
        <w:rPr>
          <w:rFonts w:ascii="Times New Roman" w:hAnsi="Times New Roman" w:cs="Times New Roman"/>
          <w:i/>
          <w:iCs/>
          <w:color w:val="auto"/>
          <w:sz w:val="22"/>
          <w:szCs w:val="22"/>
        </w:rPr>
        <w:t xml:space="preserve">Electronic Media Sanitization </w:t>
      </w:r>
      <w:r w:rsidRPr="0031061D">
        <w:rPr>
          <w:rFonts w:ascii="Times New Roman" w:hAnsi="Times New Roman" w:cs="Times New Roman"/>
          <w:color w:val="auto"/>
          <w:sz w:val="22"/>
          <w:szCs w:val="22"/>
        </w:rPr>
        <w:t>upon: (i) completion or termination of the BPA or (ii) disposal or return of the IT equipment by the Contractor/subcontractor or any person acting on behalf of the Contractor/subcontractor, whichever is earlier. Media (hard drives, optical disks, CDs, back-up tapes, etc.) used by the Contractors/subcontractors that contain VA information must be retained by the VA for sanitization or destruction or the Contractor/subcontractor must self-certify that the media has been disposed of per 6500.1 requirements. This must be completed within 30 days of termination or completion of the BPA or disposal or return of the IT equipment, whichever is earlier</w:t>
      </w:r>
    </w:p>
    <w:p w:rsidR="00204E6A" w:rsidRPr="0031061D" w:rsidP="00204E6A">
      <w:pPr>
        <w:pStyle w:val="Default"/>
        <w:numPr>
          <w:ilvl w:val="2"/>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Bio-Medical devices and other equipment or systems containing media (hard drives, optical disks, etc.) with VA sensitive information must not be returned to the Contractor at the end of lease, for trade-in, or other purposes. The options are: </w:t>
      </w:r>
    </w:p>
    <w:p w:rsidR="00204E6A" w:rsidRPr="0031061D" w:rsidP="00204E6A">
      <w:pPr>
        <w:pStyle w:val="NoSpacing"/>
        <w:numPr>
          <w:ilvl w:val="3"/>
          <w:numId w:val="3"/>
        </w:numPr>
        <w:spacing w:after="120" w:line="360" w:lineRule="auto"/>
        <w:contextualSpacing/>
        <w:rPr>
          <w:sz w:val="22"/>
          <w:szCs w:val="22"/>
        </w:rPr>
      </w:pPr>
      <w:r w:rsidRPr="0031061D">
        <w:rPr>
          <w:sz w:val="22"/>
          <w:szCs w:val="22"/>
        </w:rPr>
        <w:t xml:space="preserve">Contractor must accept the system without the drive; </w:t>
      </w:r>
    </w:p>
    <w:p w:rsidR="00204E6A" w:rsidRPr="00EF1125" w:rsidP="00204E6A">
      <w:pPr>
        <w:pStyle w:val="NoSpacing"/>
        <w:numPr>
          <w:ilvl w:val="3"/>
          <w:numId w:val="3"/>
        </w:numPr>
        <w:spacing w:after="120" w:line="360" w:lineRule="auto"/>
        <w:contextualSpacing/>
        <w:rPr>
          <w:sz w:val="22"/>
          <w:szCs w:val="22"/>
        </w:rPr>
      </w:pPr>
      <w:r w:rsidRPr="00EF1125">
        <w:rPr>
          <w:sz w:val="22"/>
          <w:szCs w:val="22"/>
        </w:rPr>
        <w:t xml:space="preserve">VA’s initial medical device procurement includes a spare drive which must be installed in place of the original drive at time of turn-in; or </w:t>
      </w:r>
    </w:p>
    <w:p w:rsidR="00204E6A" w:rsidRPr="0031061D"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VA must reimburse the company for media at a reasonable open market replacement cost at time of purchase. </w:t>
      </w:r>
    </w:p>
    <w:p w:rsidR="00204E6A" w:rsidRPr="0031061D" w:rsidP="00204E6A">
      <w:pPr>
        <w:pStyle w:val="Default"/>
        <w:numPr>
          <w:ilvl w:val="2"/>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Due to the highly specialized and sometimes proprietary hardware and software associated with medical equipment/systems, if it is </w:t>
      </w:r>
      <w:r w:rsidRPr="0031061D">
        <w:rPr>
          <w:rFonts w:ascii="Times New Roman" w:hAnsi="Times New Roman" w:cs="Times New Roman"/>
          <w:color w:val="auto"/>
          <w:sz w:val="22"/>
          <w:szCs w:val="22"/>
          <w:u w:val="single"/>
        </w:rPr>
        <w:t>not possible</w:t>
      </w:r>
      <w:r w:rsidRPr="0031061D">
        <w:rPr>
          <w:rFonts w:ascii="Times New Roman" w:hAnsi="Times New Roman" w:cs="Times New Roman"/>
          <w:color w:val="auto"/>
          <w:sz w:val="22"/>
          <w:szCs w:val="22"/>
        </w:rPr>
        <w:t xml:space="preserve"> for the VA to retain the hard drive, </w:t>
      </w:r>
      <w:r w:rsidRPr="0031061D">
        <w:rPr>
          <w:rFonts w:ascii="Times New Roman" w:hAnsi="Times New Roman" w:cs="Times New Roman"/>
          <w:color w:val="auto"/>
          <w:sz w:val="22"/>
          <w:szCs w:val="22"/>
          <w:u w:val="single"/>
        </w:rPr>
        <w:t>then</w:t>
      </w:r>
      <w:r w:rsidRPr="0031061D">
        <w:rPr>
          <w:rFonts w:ascii="Times New Roman" w:hAnsi="Times New Roman" w:cs="Times New Roman"/>
          <w:color w:val="auto"/>
          <w:sz w:val="22"/>
          <w:szCs w:val="22"/>
        </w:rPr>
        <w:t xml:space="preserve">; </w:t>
      </w:r>
    </w:p>
    <w:p w:rsidR="00204E6A" w:rsidRPr="0031061D"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 xml:space="preserve">(a) The equipment Contractor must have an existing BAA if the device being traded in has protected health information stored on it and hard drive(s) from the system are being returned physically intact; and </w:t>
      </w:r>
    </w:p>
    <w:p w:rsidR="00204E6A" w:rsidRPr="0031061D"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31061D">
        <w:rPr>
          <w:rFonts w:ascii="Times New Roman" w:hAnsi="Times New Roman" w:cs="Times New Roman"/>
          <w:color w:val="auto"/>
          <w:sz w:val="22"/>
          <w:szCs w:val="22"/>
        </w:rPr>
        <w:t>(b) Any fixed hard drive on the device must be non-destructively sanitized to the greatest extent possible without negatively impacting system operation. Selective clearing down to patient data folder level is recommended using VA approved and validated overwriting technologies/methods/tools. Applicable media sanitization specifications need to be pre-approved and described in the purchase order or BPA.</w:t>
      </w:r>
    </w:p>
    <w:p w:rsidR="00204E6A" w:rsidRPr="00A644AA" w:rsidP="00204E6A">
      <w:pPr>
        <w:pStyle w:val="Default"/>
        <w:numPr>
          <w:ilvl w:val="3"/>
          <w:numId w:val="3"/>
        </w:numPr>
        <w:spacing w:after="120" w:line="360" w:lineRule="auto"/>
        <w:contextualSpacing/>
        <w:rPr>
          <w:rFonts w:ascii="Times New Roman" w:hAnsi="Times New Roman" w:cs="Times New Roman"/>
          <w:sz w:val="22"/>
          <w:szCs w:val="22"/>
        </w:rPr>
      </w:pPr>
      <w:r w:rsidRPr="0031061D">
        <w:rPr>
          <w:rFonts w:ascii="Times New Roman" w:hAnsi="Times New Roman" w:cs="Times New Roman"/>
          <w:color w:val="auto"/>
          <w:sz w:val="22"/>
          <w:szCs w:val="22"/>
        </w:rPr>
        <w:t xml:space="preserve">A statement needs to be signed by the Director (System Owner) that states that the drive could not be removed and that (a) and (b) Vendor provided Controls above are in place and completed. The Information Security Officer (ISO) needs to maintain the documentation. </w:t>
      </w:r>
    </w:p>
    <w:p w:rsidR="00204E6A" w:rsidRPr="00A644AA" w:rsidP="00204E6A">
      <w:pPr>
        <w:pStyle w:val="Default"/>
        <w:spacing w:after="120" w:line="360" w:lineRule="auto"/>
        <w:contextualSpacing/>
        <w:rPr>
          <w:rFonts w:ascii="Times New Roman" w:hAnsi="Times New Roman" w:cs="Times New Roman"/>
          <w:b/>
          <w:sz w:val="22"/>
          <w:szCs w:val="22"/>
        </w:rPr>
      </w:pPr>
      <w:r w:rsidRPr="00A644AA">
        <w:rPr>
          <w:rFonts w:ascii="Times New Roman" w:hAnsi="Times New Roman" w:cs="Times New Roman"/>
          <w:b/>
          <w:color w:val="auto"/>
          <w:sz w:val="22"/>
          <w:szCs w:val="22"/>
        </w:rPr>
        <w:t xml:space="preserve">2.2.25 </w:t>
      </w:r>
      <w:r>
        <w:rPr>
          <w:rFonts w:ascii="Times New Roman" w:hAnsi="Times New Roman" w:cs="Times New Roman"/>
          <w:b/>
          <w:color w:val="auto"/>
          <w:sz w:val="22"/>
          <w:szCs w:val="22"/>
        </w:rPr>
        <w:t xml:space="preserve"> </w:t>
      </w:r>
      <w:r w:rsidRPr="00A644AA">
        <w:rPr>
          <w:rFonts w:ascii="Times New Roman" w:hAnsi="Times New Roman" w:cs="Times New Roman"/>
          <w:b/>
          <w:color w:val="auto"/>
          <w:sz w:val="22"/>
          <w:szCs w:val="22"/>
        </w:rPr>
        <w:t>Privacy Officer Language</w:t>
      </w:r>
    </w:p>
    <w:p w:rsidR="00204E6A" w:rsidRPr="0071497E" w:rsidP="00204E6A">
      <w:pPr>
        <w:pStyle w:val="ListParagraph"/>
        <w:widowControl w:val="0"/>
        <w:numPr>
          <w:ilvl w:val="2"/>
          <w:numId w:val="3"/>
        </w:numPr>
        <w:autoSpaceDE w:val="0"/>
        <w:autoSpaceDN w:val="0"/>
        <w:adjustRightInd w:val="0"/>
        <w:spacing w:after="120" w:line="360" w:lineRule="auto"/>
        <w:rPr>
          <w:rFonts w:eastAsiaTheme="minorEastAsia"/>
          <w:vanish/>
          <w:sz w:val="22"/>
          <w:szCs w:val="22"/>
        </w:rPr>
      </w:pP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Information made available to the contractor or subcontractor by VA for the performance or administration of this contract or information developed by the contractor/subcontractor in performance or administration of the contract shall be used only for those purposes and shall not be used in any other way without the prior written agreement of the VA. This clause expressly limits the contractor/subcontractor's rights to use data as described in Rights in Data- General, FAR 52.227-14(d) (1).</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VA information should not be co-mingled, if possible, with any other data on the contractors/subcontractor’s information systems or media storage systems in order to ensure VA requirements related to data protection and media sanitization can be met. If co-mingling must be allowed to meet the requirements of the business need, the contractor must ensure that VA’s information is returned to the VA or destroyed in accordance with VA’s sanitization requirements. VA reserves the right to conduct on-site inspections of contractor and subcontractor IT resources to ensure data security </w:t>
      </w:r>
      <w:r w:rsidRPr="00A644AA">
        <w:rPr>
          <w:rFonts w:ascii="Times New Roman" w:hAnsi="Times New Roman" w:cs="Times New Roman"/>
          <w:color w:val="auto"/>
          <w:sz w:val="22"/>
          <w:szCs w:val="22"/>
        </w:rPr>
        <w:t>controls, separation of data and job duties, and destruction/media sanitization procedures are in compliance with VA directive requirements.</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Prior to termination or completion of this contract, contractor/subcontractor must not destroy information received from VA, or gathered/created by the contractor in the course of performing this contract without prior written approval by the VA. Any data destruction done on behalf of VA by a contractor/subcontractor must be done in accordance with National Archives and Records Administration (NARA) requirements as outlined in VA Directive 6300, Records and Information Management and its Handbook 6300.1 Records Management Procedures, applicable VA Records Control Schedules, and VA Handbook 6500.1, Electronic Media Sanitization. Self-certification by the contractor that the data destruction requirements above have been met must be sent to the VA Contracting Officer within 30 days of termination of the contract.</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The contractor/subcontractor must receive, gather, store, back up, maintain, use, disclose and dispose of VA information only in compliance with the terms of the contract and applicable Federal and VA information confidentiality and security laws, regulations and policies. If Federal or VA information confidentiality and security laws, regulations and policies become applicable to the VA information or information systems after execution of the contract, or if NIST issues or updates applicable FIPS or Special Publications (SP) after execution of this contract, the parties agree to negotiate in good faith to implement the information confidentiality and security laws, regulations and policies in this contract.</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The contractor/subcontractor shall not make copies of VA information except as authorized and necessary to perform the terms of the agreement or to preserve electronic information stored on contractor/subcontractor electronic storage media for restoration in case any electronic equipment or data used by the contractor/subcontractor needs to be restored to an operating state. If copies are made for restoration purposes, after the restoration is complete, the copies must be appropriately destroyed.</w:t>
      </w:r>
    </w:p>
    <w:p w:rsidR="00204E6A" w:rsidP="00204E6A">
      <w:pPr>
        <w:pStyle w:val="Default"/>
        <w:spacing w:after="120" w:line="360" w:lineRule="auto"/>
        <w:contextualSpacing/>
        <w:rPr>
          <w:rFonts w:ascii="Times New Roman" w:hAnsi="Times New Roman" w:cs="Times New Roman"/>
          <w:b/>
          <w:color w:val="auto"/>
          <w:sz w:val="22"/>
          <w:szCs w:val="22"/>
        </w:rPr>
      </w:pPr>
      <w:r>
        <w:rPr>
          <w:rFonts w:ascii="Times New Roman" w:hAnsi="Times New Roman" w:cs="Times New Roman"/>
          <w:b/>
          <w:color w:val="auto"/>
          <w:sz w:val="22"/>
          <w:szCs w:val="22"/>
        </w:rPr>
        <w:t>2.2.26</w:t>
      </w:r>
      <w:r w:rsidRPr="000167EA">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 Records Management</w:t>
      </w:r>
    </w:p>
    <w:p w:rsidR="00204E6A" w:rsidRPr="0071497E" w:rsidP="00204E6A">
      <w:pPr>
        <w:pStyle w:val="ListParagraph"/>
        <w:widowControl w:val="0"/>
        <w:numPr>
          <w:ilvl w:val="2"/>
          <w:numId w:val="3"/>
        </w:numPr>
        <w:autoSpaceDE w:val="0"/>
        <w:autoSpaceDN w:val="0"/>
        <w:adjustRightInd w:val="0"/>
        <w:spacing w:after="120" w:line="360" w:lineRule="auto"/>
        <w:rPr>
          <w:rFonts w:eastAsiaTheme="minorEastAsia"/>
          <w:vanish/>
          <w:sz w:val="22"/>
          <w:szCs w:val="22"/>
        </w:rPr>
      </w:pP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The following standard items relate to records generated in executing the contract and should be included in a typical Electronic Information Systems (EIS) procurement contract:</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Citations to pertinent laws, codes and regulations such as 44 U.S.C chapters 21, </w:t>
      </w:r>
      <w:r w:rsidRPr="00A644AA">
        <w:rPr>
          <w:rFonts w:ascii="Times New Roman" w:hAnsi="Times New Roman" w:cs="Times New Roman"/>
          <w:color w:val="auto"/>
          <w:sz w:val="22"/>
          <w:szCs w:val="22"/>
        </w:rPr>
        <w:t>29, 31 and 33; Freedom of Information Act (5 U.S.C. 552); Privacy Act (5 U.S.C. 552a); 36 CFR Part 1222 and Part 1228.</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shall treat all deliverables under the contract as the property of the U.S. Government for which the Government Agency shall have unlimited rights to use, dispose of, or disclose such data contained therein as it determines to be in the public interest.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shall not create or maintain any records that are not specifically tied to or authorized by the contract using Government IT equipment and/or Government records.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shall not retain, use, sell, or disseminate copies of any deliverable that contains information covered by the Privacy Act of 1974 or that which is generally protected by the Freedom of Information Act.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shall not create or maintain any records containing any Government Agency records that are not specifically tied to or authorized by the contract.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The Government Agency owns the rights to all data/records produced as part of this contract.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The Government Agency owns the rights to all electronic information (electronic data, electronic information systems, electronic databases, etc.) and all supporting documentation created as part of this contract. Contractor must deliver sufficient technical documentation with all data deliverables to permit the agency to use the data.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agrees to comply with Federal and Agency records management policies, including those policies associated with the safeguarding of records covered by the Privacy Act of 1974. These policies include the preservation of all records created or received regardless of format [paper, electronic, etc.] or mode of transmission [e-mail, fax, etc.] or state of completion [draft, final, etc.].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No disposition of documents will be allowed without the prior written consent of the Contracting Officer. The Agency and its contractors are responsible for preventing the alienation or unauthorized destruction of records, including all forms of mutilation. Willful and unlawful destruction, damage or alienation of Federal records is subject to the fines and penalties imposed by 18 U.S.C. 2701. Records may not be removed from the legal custody of the Agency or destroyed without regard to the provisions of the agency records schedules. </w:t>
      </w:r>
    </w:p>
    <w:p w:rsidR="00204E6A" w:rsidRPr="00A644AA" w:rsidP="00204E6A">
      <w:pPr>
        <w:pStyle w:val="Default"/>
        <w:numPr>
          <w:ilvl w:val="3"/>
          <w:numId w:val="3"/>
        </w:numPr>
        <w:spacing w:after="120" w:line="360" w:lineRule="auto"/>
        <w:contextualSpacing/>
        <w:rPr>
          <w:rFonts w:ascii="Times New Roman" w:hAnsi="Times New Roman" w:cs="Times New Roman"/>
          <w:color w:val="auto"/>
          <w:sz w:val="22"/>
          <w:szCs w:val="22"/>
        </w:rPr>
      </w:pPr>
      <w:r w:rsidRPr="00A644AA">
        <w:rPr>
          <w:rFonts w:ascii="Times New Roman" w:hAnsi="Times New Roman" w:cs="Times New Roman"/>
          <w:color w:val="auto"/>
          <w:sz w:val="22"/>
          <w:szCs w:val="22"/>
        </w:rPr>
        <w:t xml:space="preserve">Contractor is required to obtain the Contracting Officer's approval prior to </w:t>
      </w:r>
      <w:r w:rsidRPr="00A644AA">
        <w:rPr>
          <w:rFonts w:ascii="Times New Roman" w:hAnsi="Times New Roman" w:cs="Times New Roman"/>
          <w:color w:val="auto"/>
          <w:sz w:val="22"/>
          <w:szCs w:val="22"/>
        </w:rPr>
        <w:t xml:space="preserve">engaging in any contractual relationship (sub-contractor) in support of this contract requiring the disclosure of information, documentary material and/or records generated under, or relating to, this contract. The Contractor (and any sub-contractor) is required to abide by Government and Agency guidance for protecting sensitive and proprietary information. </w:t>
      </w:r>
    </w:p>
    <w:p w:rsidR="00204E6A" w:rsidP="00204E6A">
      <w:pPr>
        <w:pStyle w:val="Default"/>
        <w:spacing w:after="120" w:line="360" w:lineRule="auto"/>
        <w:contextualSpacing/>
        <w:rPr>
          <w:rFonts w:ascii="Times New Roman" w:hAnsi="Times New Roman" w:cs="Times New Roman"/>
          <w:b/>
          <w:sz w:val="22"/>
          <w:szCs w:val="22"/>
        </w:rPr>
      </w:pPr>
    </w:p>
    <w:p w:rsidR="00204E6A" w:rsidRPr="0031061D" w:rsidP="00204E6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contextualSpacing/>
        <w:rPr>
          <w:b/>
          <w:sz w:val="22"/>
          <w:szCs w:val="22"/>
        </w:rPr>
      </w:pPr>
      <w:r w:rsidRPr="0031061D">
        <w:rPr>
          <w:b/>
          <w:sz w:val="22"/>
          <w:szCs w:val="22"/>
        </w:rPr>
        <w:t xml:space="preserve">DELIVERABLES </w:t>
      </w:r>
    </w:p>
    <w:p w:rsidR="00204E6A" w:rsidRPr="0031061D" w:rsidP="00204E6A">
      <w:pPr>
        <w:ind w:left="360"/>
        <w:contextualSpacing/>
        <w:rPr>
          <w:b/>
          <w:sz w:val="22"/>
          <w:szCs w:val="22"/>
        </w:rPr>
      </w:pPr>
    </w:p>
    <w:p w:rsidR="00204E6A" w:rsidRPr="0031061D" w:rsidP="00204E6A">
      <w:pPr>
        <w:rPr>
          <w:b/>
          <w:sz w:val="22"/>
          <w:szCs w:val="22"/>
        </w:rPr>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02"/>
        <w:gridCol w:w="1249"/>
        <w:gridCol w:w="2250"/>
        <w:gridCol w:w="1350"/>
        <w:gridCol w:w="1777"/>
      </w:tblGrid>
      <w:tr w:rsidTr="00204E6A">
        <w:tblPrEx>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72" w:type="dxa"/>
          </w:tcPr>
          <w:p w:rsidR="00204E6A" w:rsidRPr="0031061D" w:rsidP="00F24C8B">
            <w:pPr>
              <w:widowControl w:val="0"/>
              <w:autoSpaceDE w:val="0"/>
              <w:autoSpaceDN w:val="0"/>
              <w:adjustRightInd w:val="0"/>
              <w:rPr>
                <w:b/>
                <w:sz w:val="22"/>
                <w:szCs w:val="22"/>
              </w:rPr>
            </w:pPr>
            <w:r w:rsidRPr="0031061D">
              <w:rPr>
                <w:b/>
                <w:sz w:val="22"/>
                <w:szCs w:val="22"/>
              </w:rPr>
              <w:t>Deliverable #</w:t>
            </w:r>
          </w:p>
        </w:tc>
        <w:tc>
          <w:tcPr>
            <w:tcW w:w="2002" w:type="dxa"/>
            <w:shd w:val="clear" w:color="auto" w:fill="auto"/>
          </w:tcPr>
          <w:p w:rsidR="00204E6A" w:rsidRPr="0031061D" w:rsidP="00F24C8B">
            <w:pPr>
              <w:widowControl w:val="0"/>
              <w:autoSpaceDE w:val="0"/>
              <w:autoSpaceDN w:val="0"/>
              <w:adjustRightInd w:val="0"/>
              <w:rPr>
                <w:b/>
                <w:sz w:val="22"/>
                <w:szCs w:val="22"/>
              </w:rPr>
            </w:pPr>
            <w:r w:rsidRPr="0031061D">
              <w:rPr>
                <w:b/>
                <w:sz w:val="22"/>
                <w:szCs w:val="22"/>
              </w:rPr>
              <w:t>DELIVERABLE</w:t>
            </w:r>
          </w:p>
        </w:tc>
        <w:tc>
          <w:tcPr>
            <w:tcW w:w="1249" w:type="dxa"/>
            <w:shd w:val="clear" w:color="auto" w:fill="auto"/>
          </w:tcPr>
          <w:p w:rsidR="00204E6A" w:rsidRPr="0031061D" w:rsidP="00F24C8B">
            <w:pPr>
              <w:widowControl w:val="0"/>
              <w:autoSpaceDE w:val="0"/>
              <w:autoSpaceDN w:val="0"/>
              <w:adjustRightInd w:val="0"/>
              <w:rPr>
                <w:b/>
                <w:sz w:val="22"/>
                <w:szCs w:val="22"/>
              </w:rPr>
            </w:pPr>
            <w:r w:rsidRPr="0031061D">
              <w:rPr>
                <w:b/>
                <w:sz w:val="22"/>
                <w:szCs w:val="22"/>
              </w:rPr>
              <w:t>SECTION</w:t>
            </w:r>
          </w:p>
        </w:tc>
        <w:tc>
          <w:tcPr>
            <w:tcW w:w="2250" w:type="dxa"/>
            <w:shd w:val="clear" w:color="auto" w:fill="auto"/>
          </w:tcPr>
          <w:p w:rsidR="00204E6A" w:rsidRPr="0031061D" w:rsidP="00F24C8B">
            <w:pPr>
              <w:widowControl w:val="0"/>
              <w:autoSpaceDE w:val="0"/>
              <w:autoSpaceDN w:val="0"/>
              <w:adjustRightInd w:val="0"/>
              <w:rPr>
                <w:b/>
                <w:sz w:val="22"/>
                <w:szCs w:val="22"/>
              </w:rPr>
            </w:pPr>
            <w:r w:rsidRPr="0031061D">
              <w:rPr>
                <w:b/>
                <w:sz w:val="22"/>
                <w:szCs w:val="22"/>
              </w:rPr>
              <w:t>DELIVERY DUE DATE</w:t>
            </w:r>
          </w:p>
        </w:tc>
        <w:tc>
          <w:tcPr>
            <w:tcW w:w="1350" w:type="dxa"/>
            <w:shd w:val="clear" w:color="auto" w:fill="auto"/>
          </w:tcPr>
          <w:p w:rsidR="00204E6A" w:rsidRPr="0031061D" w:rsidP="00F24C8B">
            <w:pPr>
              <w:widowControl w:val="0"/>
              <w:autoSpaceDE w:val="0"/>
              <w:autoSpaceDN w:val="0"/>
              <w:adjustRightInd w:val="0"/>
              <w:rPr>
                <w:b/>
                <w:sz w:val="22"/>
                <w:szCs w:val="22"/>
              </w:rPr>
            </w:pPr>
            <w:r w:rsidRPr="0031061D">
              <w:rPr>
                <w:b/>
                <w:sz w:val="22"/>
                <w:szCs w:val="22"/>
              </w:rPr>
              <w:t>DELIVER TO</w:t>
            </w:r>
          </w:p>
        </w:tc>
        <w:tc>
          <w:tcPr>
            <w:tcW w:w="1777" w:type="dxa"/>
            <w:shd w:val="clear" w:color="auto" w:fill="auto"/>
          </w:tcPr>
          <w:p w:rsidR="00204E6A" w:rsidRPr="0031061D" w:rsidP="00F24C8B">
            <w:pPr>
              <w:widowControl w:val="0"/>
              <w:autoSpaceDE w:val="0"/>
              <w:autoSpaceDN w:val="0"/>
              <w:adjustRightInd w:val="0"/>
              <w:rPr>
                <w:b/>
                <w:sz w:val="22"/>
                <w:szCs w:val="22"/>
              </w:rPr>
            </w:pPr>
            <w:r w:rsidRPr="0031061D">
              <w:rPr>
                <w:b/>
                <w:sz w:val="22"/>
                <w:szCs w:val="22"/>
              </w:rPr>
              <w:t>METHOD</w:t>
            </w:r>
          </w:p>
        </w:tc>
      </w:tr>
      <w:tr w:rsidTr="00204E6A">
        <w:tblPrEx>
          <w:tblW w:w="9900" w:type="dxa"/>
          <w:tblInd w:w="-185" w:type="dxa"/>
          <w:tblLayout w:type="fixed"/>
          <w:tblLook w:val="01E0"/>
        </w:tblPrEx>
        <w:tc>
          <w:tcPr>
            <w:tcW w:w="1272" w:type="dxa"/>
          </w:tcPr>
          <w:p w:rsidR="00204E6A" w:rsidRPr="0031061D" w:rsidP="00F24C8B">
            <w:pPr>
              <w:rPr>
                <w:sz w:val="22"/>
                <w:szCs w:val="22"/>
              </w:rPr>
            </w:pPr>
            <w:r w:rsidRPr="0031061D">
              <w:rPr>
                <w:sz w:val="22"/>
                <w:szCs w:val="22"/>
              </w:rPr>
              <w:t>1</w:t>
            </w:r>
          </w:p>
        </w:tc>
        <w:tc>
          <w:tcPr>
            <w:tcW w:w="2002" w:type="dxa"/>
            <w:shd w:val="clear" w:color="auto" w:fill="auto"/>
          </w:tcPr>
          <w:p w:rsidR="00204E6A" w:rsidRPr="0031061D" w:rsidP="00F24C8B">
            <w:pPr>
              <w:rPr>
                <w:sz w:val="22"/>
                <w:szCs w:val="22"/>
              </w:rPr>
            </w:pPr>
            <w:r w:rsidRPr="0031061D">
              <w:rPr>
                <w:sz w:val="22"/>
                <w:szCs w:val="22"/>
              </w:rPr>
              <w:t>Copy of Quarterly Report of sales</w:t>
            </w:r>
          </w:p>
        </w:tc>
        <w:tc>
          <w:tcPr>
            <w:tcW w:w="1249" w:type="dxa"/>
            <w:shd w:val="clear" w:color="auto" w:fill="auto"/>
          </w:tcPr>
          <w:p w:rsidR="00204E6A" w:rsidRPr="0031061D" w:rsidP="00F24C8B">
            <w:pPr>
              <w:rPr>
                <w:sz w:val="22"/>
                <w:szCs w:val="22"/>
                <w:highlight w:val="yellow"/>
              </w:rPr>
            </w:pPr>
            <w:r w:rsidRPr="006F484B">
              <w:rPr>
                <w:b/>
                <w:sz w:val="22"/>
                <w:szCs w:val="22"/>
              </w:rPr>
              <w:t>Pg. 1</w:t>
            </w:r>
            <w:r>
              <w:rPr>
                <w:b/>
                <w:sz w:val="22"/>
                <w:szCs w:val="22"/>
              </w:rPr>
              <w:t xml:space="preserve">4 </w:t>
            </w:r>
            <w:r w:rsidRPr="006F484B">
              <w:rPr>
                <w:b/>
                <w:sz w:val="22"/>
                <w:szCs w:val="22"/>
              </w:rPr>
              <w:t>2.2.1</w:t>
            </w:r>
            <w:r>
              <w:rPr>
                <w:b/>
                <w:sz w:val="22"/>
                <w:szCs w:val="22"/>
              </w:rPr>
              <w:t>4</w:t>
            </w:r>
          </w:p>
        </w:tc>
        <w:tc>
          <w:tcPr>
            <w:tcW w:w="2250" w:type="dxa"/>
            <w:shd w:val="clear" w:color="auto" w:fill="auto"/>
          </w:tcPr>
          <w:p w:rsidR="00204E6A" w:rsidRPr="0031061D" w:rsidP="00F24C8B">
            <w:pPr>
              <w:rPr>
                <w:sz w:val="22"/>
                <w:szCs w:val="22"/>
              </w:rPr>
            </w:pPr>
            <w:r w:rsidRPr="0031061D">
              <w:rPr>
                <w:sz w:val="22"/>
                <w:szCs w:val="22"/>
              </w:rPr>
              <w:t>Within 30 Calendar days after close of each quarter’s business.</w:t>
            </w:r>
          </w:p>
        </w:tc>
        <w:tc>
          <w:tcPr>
            <w:tcW w:w="1350" w:type="dxa"/>
            <w:shd w:val="clear" w:color="auto" w:fill="auto"/>
          </w:tcPr>
          <w:p w:rsidR="00204E6A" w:rsidRPr="0031061D" w:rsidP="00F24C8B">
            <w:pPr>
              <w:rPr>
                <w:sz w:val="22"/>
                <w:szCs w:val="22"/>
              </w:rPr>
            </w:pPr>
            <w:r w:rsidRPr="0031061D">
              <w:rPr>
                <w:sz w:val="22"/>
                <w:szCs w:val="22"/>
              </w:rPr>
              <w:t xml:space="preserve">VA CO  </w:t>
            </w:r>
          </w:p>
          <w:p w:rsidR="00204E6A" w:rsidRPr="0031061D" w:rsidP="00F24C8B">
            <w:pPr>
              <w:rPr>
                <w:sz w:val="22"/>
                <w:szCs w:val="22"/>
              </w:rPr>
            </w:pPr>
            <w:r w:rsidRPr="0031061D">
              <w:rPr>
                <w:sz w:val="22"/>
                <w:szCs w:val="22"/>
              </w:rPr>
              <w:t>VA COR</w:t>
            </w:r>
          </w:p>
        </w:tc>
        <w:tc>
          <w:tcPr>
            <w:tcW w:w="1777" w:type="dxa"/>
            <w:shd w:val="clear" w:color="auto" w:fill="auto"/>
          </w:tcPr>
          <w:p w:rsidR="00204E6A" w:rsidRPr="0031061D" w:rsidP="00F24C8B">
            <w:pPr>
              <w:rPr>
                <w:sz w:val="22"/>
                <w:szCs w:val="22"/>
              </w:rPr>
            </w:pPr>
            <w:r w:rsidRPr="0031061D">
              <w:rPr>
                <w:sz w:val="22"/>
                <w:szCs w:val="22"/>
              </w:rPr>
              <w:t>Email or Fax</w:t>
            </w:r>
          </w:p>
        </w:tc>
      </w:tr>
      <w:tr w:rsidTr="00204E6A">
        <w:tblPrEx>
          <w:tblW w:w="9900" w:type="dxa"/>
          <w:tblInd w:w="-185" w:type="dxa"/>
          <w:tblLayout w:type="fixed"/>
          <w:tblLook w:val="01E0"/>
        </w:tblPrEx>
        <w:tc>
          <w:tcPr>
            <w:tcW w:w="1272" w:type="dxa"/>
          </w:tcPr>
          <w:p w:rsidR="00204E6A" w:rsidRPr="0031061D" w:rsidP="00F24C8B">
            <w:pPr>
              <w:widowControl w:val="0"/>
              <w:autoSpaceDE w:val="0"/>
              <w:autoSpaceDN w:val="0"/>
              <w:adjustRightInd w:val="0"/>
              <w:rPr>
                <w:sz w:val="22"/>
                <w:szCs w:val="22"/>
              </w:rPr>
            </w:pPr>
            <w:r w:rsidRPr="0031061D">
              <w:rPr>
                <w:sz w:val="22"/>
                <w:szCs w:val="22"/>
              </w:rPr>
              <w:t>2</w:t>
            </w:r>
          </w:p>
        </w:tc>
        <w:tc>
          <w:tcPr>
            <w:tcW w:w="2002" w:type="dxa"/>
            <w:shd w:val="clear" w:color="auto" w:fill="auto"/>
          </w:tcPr>
          <w:p w:rsidR="00204E6A" w:rsidRPr="0031061D" w:rsidP="00F24C8B">
            <w:pPr>
              <w:widowControl w:val="0"/>
              <w:autoSpaceDE w:val="0"/>
              <w:autoSpaceDN w:val="0"/>
              <w:adjustRightInd w:val="0"/>
              <w:rPr>
                <w:sz w:val="22"/>
                <w:szCs w:val="22"/>
              </w:rPr>
            </w:pPr>
            <w:r>
              <w:rPr>
                <w:sz w:val="22"/>
                <w:szCs w:val="22"/>
              </w:rPr>
              <w:t>Key Operator Training</w:t>
            </w:r>
            <w:r w:rsidRPr="0031061D">
              <w:rPr>
                <w:sz w:val="22"/>
                <w:szCs w:val="22"/>
              </w:rPr>
              <w:t xml:space="preserve"> </w:t>
            </w:r>
          </w:p>
        </w:tc>
        <w:tc>
          <w:tcPr>
            <w:tcW w:w="1249" w:type="dxa"/>
            <w:shd w:val="clear" w:color="auto" w:fill="auto"/>
          </w:tcPr>
          <w:p w:rsidR="00204E6A" w:rsidRPr="00D365B8" w:rsidP="00F24C8B">
            <w:pPr>
              <w:widowControl w:val="0"/>
              <w:autoSpaceDE w:val="0"/>
              <w:autoSpaceDN w:val="0"/>
              <w:adjustRightInd w:val="0"/>
              <w:rPr>
                <w:b/>
                <w:sz w:val="22"/>
                <w:szCs w:val="22"/>
              </w:rPr>
            </w:pPr>
            <w:r w:rsidRPr="00D365B8">
              <w:rPr>
                <w:b/>
                <w:sz w:val="22"/>
                <w:szCs w:val="22"/>
              </w:rPr>
              <w:t>Pg. 14 2.2.1</w:t>
            </w:r>
            <w:r>
              <w:rPr>
                <w:b/>
                <w:sz w:val="22"/>
                <w:szCs w:val="22"/>
              </w:rPr>
              <w:t>6</w:t>
            </w:r>
            <w:r w:rsidRPr="00D365B8">
              <w:rPr>
                <w:b/>
                <w:sz w:val="22"/>
                <w:szCs w:val="22"/>
              </w:rPr>
              <w:t>.3</w:t>
            </w:r>
          </w:p>
        </w:tc>
        <w:tc>
          <w:tcPr>
            <w:tcW w:w="22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Initial installation and yearly thereafter</w:t>
            </w:r>
          </w:p>
        </w:tc>
        <w:tc>
          <w:tcPr>
            <w:tcW w:w="13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Designated key operator</w:t>
            </w:r>
          </w:p>
        </w:tc>
        <w:tc>
          <w:tcPr>
            <w:tcW w:w="1777"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 person</w:t>
            </w:r>
            <w:r>
              <w:rPr>
                <w:sz w:val="22"/>
                <w:szCs w:val="22"/>
              </w:rPr>
              <w:t xml:space="preserve"> @ training facility</w:t>
            </w:r>
          </w:p>
        </w:tc>
      </w:tr>
      <w:tr w:rsidTr="00204E6A">
        <w:tblPrEx>
          <w:tblW w:w="9900" w:type="dxa"/>
          <w:tblInd w:w="-185" w:type="dxa"/>
          <w:tblLayout w:type="fixed"/>
          <w:tblLook w:val="01E0"/>
        </w:tblPrEx>
        <w:tc>
          <w:tcPr>
            <w:tcW w:w="1272" w:type="dxa"/>
          </w:tcPr>
          <w:p w:rsidR="00204E6A" w:rsidRPr="0031061D" w:rsidP="00F24C8B">
            <w:pPr>
              <w:widowControl w:val="0"/>
              <w:autoSpaceDE w:val="0"/>
              <w:autoSpaceDN w:val="0"/>
              <w:adjustRightInd w:val="0"/>
              <w:rPr>
                <w:sz w:val="22"/>
                <w:szCs w:val="22"/>
              </w:rPr>
            </w:pPr>
            <w:r>
              <w:rPr>
                <w:sz w:val="22"/>
                <w:szCs w:val="22"/>
              </w:rPr>
              <w:t>3</w:t>
            </w:r>
          </w:p>
        </w:tc>
        <w:tc>
          <w:tcPr>
            <w:tcW w:w="2002" w:type="dxa"/>
            <w:shd w:val="clear" w:color="auto" w:fill="auto"/>
          </w:tcPr>
          <w:p w:rsidR="00204E6A" w:rsidRPr="0031061D" w:rsidP="00F24C8B">
            <w:pPr>
              <w:widowControl w:val="0"/>
              <w:autoSpaceDE w:val="0"/>
              <w:autoSpaceDN w:val="0"/>
              <w:adjustRightInd w:val="0"/>
              <w:rPr>
                <w:sz w:val="22"/>
                <w:szCs w:val="22"/>
              </w:rPr>
            </w:pPr>
            <w:r>
              <w:rPr>
                <w:sz w:val="22"/>
                <w:szCs w:val="22"/>
              </w:rPr>
              <w:t>Basic Operator Training</w:t>
            </w:r>
          </w:p>
        </w:tc>
        <w:tc>
          <w:tcPr>
            <w:tcW w:w="1249" w:type="dxa"/>
            <w:shd w:val="clear" w:color="auto" w:fill="auto"/>
          </w:tcPr>
          <w:p w:rsidR="00204E6A" w:rsidRPr="00D365B8" w:rsidP="00F24C8B">
            <w:pPr>
              <w:widowControl w:val="0"/>
              <w:autoSpaceDE w:val="0"/>
              <w:autoSpaceDN w:val="0"/>
              <w:adjustRightInd w:val="0"/>
              <w:rPr>
                <w:b/>
                <w:sz w:val="22"/>
                <w:szCs w:val="22"/>
              </w:rPr>
            </w:pPr>
            <w:r>
              <w:rPr>
                <w:b/>
                <w:sz w:val="22"/>
                <w:szCs w:val="22"/>
              </w:rPr>
              <w:t>Pg. 15 2.2.16.3.1</w:t>
            </w:r>
          </w:p>
        </w:tc>
        <w:tc>
          <w:tcPr>
            <w:tcW w:w="2250" w:type="dxa"/>
            <w:shd w:val="clear" w:color="auto" w:fill="auto"/>
          </w:tcPr>
          <w:p w:rsidR="00204E6A" w:rsidRPr="0031061D" w:rsidP="00F24C8B">
            <w:pPr>
              <w:widowControl w:val="0"/>
              <w:autoSpaceDE w:val="0"/>
              <w:autoSpaceDN w:val="0"/>
              <w:adjustRightInd w:val="0"/>
              <w:rPr>
                <w:sz w:val="22"/>
                <w:szCs w:val="22"/>
              </w:rPr>
            </w:pPr>
            <w:r>
              <w:rPr>
                <w:sz w:val="22"/>
                <w:szCs w:val="22"/>
              </w:rPr>
              <w:t>Initial Installation</w:t>
            </w:r>
          </w:p>
        </w:tc>
        <w:tc>
          <w:tcPr>
            <w:tcW w:w="1350" w:type="dxa"/>
            <w:shd w:val="clear" w:color="auto" w:fill="auto"/>
          </w:tcPr>
          <w:p w:rsidR="00204E6A" w:rsidRPr="0031061D" w:rsidP="00F24C8B">
            <w:pPr>
              <w:widowControl w:val="0"/>
              <w:autoSpaceDE w:val="0"/>
              <w:autoSpaceDN w:val="0"/>
              <w:adjustRightInd w:val="0"/>
              <w:rPr>
                <w:sz w:val="22"/>
                <w:szCs w:val="22"/>
              </w:rPr>
            </w:pPr>
            <w:r>
              <w:rPr>
                <w:sz w:val="22"/>
                <w:szCs w:val="22"/>
              </w:rPr>
              <w:t>Designated Staff</w:t>
            </w:r>
          </w:p>
        </w:tc>
        <w:tc>
          <w:tcPr>
            <w:tcW w:w="1777" w:type="dxa"/>
            <w:shd w:val="clear" w:color="auto" w:fill="auto"/>
          </w:tcPr>
          <w:p w:rsidR="00204E6A" w:rsidRPr="0031061D" w:rsidP="00F24C8B">
            <w:pPr>
              <w:widowControl w:val="0"/>
              <w:autoSpaceDE w:val="0"/>
              <w:autoSpaceDN w:val="0"/>
              <w:adjustRightInd w:val="0"/>
              <w:rPr>
                <w:sz w:val="22"/>
                <w:szCs w:val="22"/>
              </w:rPr>
            </w:pPr>
            <w:r>
              <w:rPr>
                <w:sz w:val="22"/>
                <w:szCs w:val="22"/>
              </w:rPr>
              <w:t xml:space="preserve">On site for all </w:t>
            </w:r>
            <w:r w:rsidRPr="0031061D">
              <w:rPr>
                <w:sz w:val="22"/>
                <w:szCs w:val="22"/>
              </w:rPr>
              <w:t>operators on all shifts, as applicable</w:t>
            </w:r>
          </w:p>
        </w:tc>
      </w:tr>
      <w:tr w:rsidTr="00204E6A">
        <w:tblPrEx>
          <w:tblW w:w="9900" w:type="dxa"/>
          <w:tblInd w:w="-185" w:type="dxa"/>
          <w:tblLayout w:type="fixed"/>
          <w:tblLook w:val="01E0"/>
        </w:tblPrEx>
        <w:tc>
          <w:tcPr>
            <w:tcW w:w="1272" w:type="dxa"/>
          </w:tcPr>
          <w:p w:rsidR="00204E6A" w:rsidRPr="0031061D" w:rsidP="00F24C8B">
            <w:pPr>
              <w:widowControl w:val="0"/>
              <w:autoSpaceDE w:val="0"/>
              <w:autoSpaceDN w:val="0"/>
              <w:adjustRightInd w:val="0"/>
              <w:rPr>
                <w:sz w:val="22"/>
                <w:szCs w:val="22"/>
              </w:rPr>
            </w:pPr>
            <w:r>
              <w:rPr>
                <w:sz w:val="22"/>
                <w:szCs w:val="22"/>
              </w:rPr>
              <w:t>4</w:t>
            </w:r>
          </w:p>
        </w:tc>
        <w:tc>
          <w:tcPr>
            <w:tcW w:w="2002"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Middleware Training</w:t>
            </w:r>
          </w:p>
        </w:tc>
        <w:tc>
          <w:tcPr>
            <w:tcW w:w="1249" w:type="dxa"/>
            <w:shd w:val="clear" w:color="auto" w:fill="auto"/>
          </w:tcPr>
          <w:p w:rsidR="00204E6A" w:rsidRPr="00D365B8" w:rsidP="00F24C8B">
            <w:pPr>
              <w:widowControl w:val="0"/>
              <w:autoSpaceDE w:val="0"/>
              <w:autoSpaceDN w:val="0"/>
              <w:adjustRightInd w:val="0"/>
              <w:rPr>
                <w:b/>
                <w:sz w:val="22"/>
                <w:szCs w:val="22"/>
              </w:rPr>
            </w:pPr>
            <w:r w:rsidRPr="00D365B8">
              <w:rPr>
                <w:b/>
                <w:sz w:val="22"/>
                <w:szCs w:val="22"/>
              </w:rPr>
              <w:t>Pg. 11 2.2.1</w:t>
            </w:r>
            <w:r>
              <w:rPr>
                <w:b/>
                <w:sz w:val="22"/>
                <w:szCs w:val="22"/>
              </w:rPr>
              <w:t>0</w:t>
            </w:r>
            <w:r w:rsidRPr="00D365B8">
              <w:rPr>
                <w:b/>
                <w:sz w:val="22"/>
                <w:szCs w:val="22"/>
              </w:rPr>
              <w:t>.4</w:t>
            </w:r>
          </w:p>
        </w:tc>
        <w:tc>
          <w:tcPr>
            <w:tcW w:w="22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Initial installation yearly thereafter, and as middleware is upgraded.</w:t>
            </w:r>
          </w:p>
        </w:tc>
        <w:tc>
          <w:tcPr>
            <w:tcW w:w="13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Designated Key Operator</w:t>
            </w:r>
          </w:p>
        </w:tc>
        <w:tc>
          <w:tcPr>
            <w:tcW w:w="1777"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 person</w:t>
            </w:r>
            <w:r>
              <w:rPr>
                <w:sz w:val="22"/>
                <w:szCs w:val="22"/>
              </w:rPr>
              <w:t xml:space="preserve"> @ training facility</w:t>
            </w:r>
          </w:p>
        </w:tc>
      </w:tr>
      <w:tr w:rsidTr="00204E6A">
        <w:tblPrEx>
          <w:tblW w:w="9900" w:type="dxa"/>
          <w:tblInd w:w="-185" w:type="dxa"/>
          <w:tblLayout w:type="fixed"/>
          <w:tblLook w:val="01E0"/>
        </w:tblPrEx>
        <w:tc>
          <w:tcPr>
            <w:tcW w:w="1272" w:type="dxa"/>
          </w:tcPr>
          <w:p w:rsidR="00204E6A" w:rsidRPr="0031061D" w:rsidP="00F24C8B">
            <w:pPr>
              <w:widowControl w:val="0"/>
              <w:autoSpaceDE w:val="0"/>
              <w:autoSpaceDN w:val="0"/>
              <w:adjustRightInd w:val="0"/>
              <w:rPr>
                <w:sz w:val="22"/>
                <w:szCs w:val="22"/>
              </w:rPr>
            </w:pPr>
            <w:r>
              <w:rPr>
                <w:sz w:val="22"/>
                <w:szCs w:val="22"/>
              </w:rPr>
              <w:t>5</w:t>
            </w:r>
          </w:p>
        </w:tc>
        <w:tc>
          <w:tcPr>
            <w:tcW w:w="2002"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Downtime Summary Report</w:t>
            </w:r>
          </w:p>
        </w:tc>
        <w:tc>
          <w:tcPr>
            <w:tcW w:w="1249" w:type="dxa"/>
            <w:shd w:val="clear" w:color="auto" w:fill="auto"/>
          </w:tcPr>
          <w:p w:rsidR="00204E6A" w:rsidRPr="00D365B8" w:rsidP="00F24C8B">
            <w:pPr>
              <w:widowControl w:val="0"/>
              <w:autoSpaceDE w:val="0"/>
              <w:autoSpaceDN w:val="0"/>
              <w:adjustRightInd w:val="0"/>
              <w:rPr>
                <w:b/>
                <w:sz w:val="22"/>
                <w:szCs w:val="22"/>
              </w:rPr>
            </w:pPr>
            <w:r>
              <w:rPr>
                <w:b/>
                <w:sz w:val="22"/>
                <w:szCs w:val="22"/>
              </w:rPr>
              <w:t>Pg. 17</w:t>
            </w:r>
            <w:r w:rsidRPr="00D365B8">
              <w:rPr>
                <w:b/>
                <w:sz w:val="22"/>
                <w:szCs w:val="22"/>
              </w:rPr>
              <w:t xml:space="preserve"> 2.2.17.4.3.4</w:t>
            </w:r>
          </w:p>
        </w:tc>
        <w:tc>
          <w:tcPr>
            <w:tcW w:w="22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Prior to Contract</w:t>
            </w:r>
          </w:p>
        </w:tc>
        <w:tc>
          <w:tcPr>
            <w:tcW w:w="13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VA CO</w:t>
            </w:r>
          </w:p>
        </w:tc>
        <w:tc>
          <w:tcPr>
            <w:tcW w:w="1777"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Email or Fax</w:t>
            </w:r>
          </w:p>
        </w:tc>
      </w:tr>
      <w:tr w:rsidTr="00204E6A">
        <w:tblPrEx>
          <w:tblW w:w="9900" w:type="dxa"/>
          <w:tblInd w:w="-185" w:type="dxa"/>
          <w:tblLayout w:type="fixed"/>
          <w:tblLook w:val="01E0"/>
        </w:tblPrEx>
        <w:tc>
          <w:tcPr>
            <w:tcW w:w="1272" w:type="dxa"/>
          </w:tcPr>
          <w:p w:rsidR="00204E6A" w:rsidRPr="0031061D" w:rsidP="00F24C8B">
            <w:pPr>
              <w:widowControl w:val="0"/>
              <w:autoSpaceDE w:val="0"/>
              <w:autoSpaceDN w:val="0"/>
              <w:adjustRightInd w:val="0"/>
              <w:rPr>
                <w:sz w:val="22"/>
                <w:szCs w:val="22"/>
              </w:rPr>
            </w:pPr>
            <w:r>
              <w:rPr>
                <w:sz w:val="22"/>
                <w:szCs w:val="22"/>
              </w:rPr>
              <w:t>6</w:t>
            </w:r>
          </w:p>
        </w:tc>
        <w:tc>
          <w:tcPr>
            <w:tcW w:w="2002" w:type="dxa"/>
            <w:shd w:val="clear" w:color="auto" w:fill="auto"/>
          </w:tcPr>
          <w:p w:rsidR="00204E6A" w:rsidRPr="0031061D" w:rsidP="00F24C8B">
            <w:pPr>
              <w:widowControl w:val="0"/>
              <w:autoSpaceDE w:val="0"/>
              <w:autoSpaceDN w:val="0"/>
              <w:adjustRightInd w:val="0"/>
              <w:rPr>
                <w:sz w:val="22"/>
                <w:szCs w:val="22"/>
              </w:rPr>
            </w:pPr>
            <w:r>
              <w:rPr>
                <w:sz w:val="22"/>
                <w:szCs w:val="22"/>
              </w:rPr>
              <w:t xml:space="preserve">Method Performance/ </w:t>
            </w:r>
            <w:r w:rsidRPr="0031061D">
              <w:rPr>
                <w:sz w:val="22"/>
                <w:szCs w:val="22"/>
              </w:rPr>
              <w:t>Validation requirements in accordance with CLSI guidelines</w:t>
            </w:r>
          </w:p>
        </w:tc>
        <w:tc>
          <w:tcPr>
            <w:tcW w:w="1249" w:type="dxa"/>
            <w:shd w:val="clear" w:color="auto" w:fill="auto"/>
          </w:tcPr>
          <w:p w:rsidR="00204E6A" w:rsidRPr="00D365B8" w:rsidP="00F24C8B">
            <w:pPr>
              <w:widowControl w:val="0"/>
              <w:autoSpaceDE w:val="0"/>
              <w:autoSpaceDN w:val="0"/>
              <w:adjustRightInd w:val="0"/>
              <w:rPr>
                <w:b/>
                <w:sz w:val="22"/>
                <w:szCs w:val="22"/>
              </w:rPr>
            </w:pPr>
            <w:r w:rsidRPr="00D365B8">
              <w:rPr>
                <w:b/>
                <w:sz w:val="22"/>
                <w:szCs w:val="22"/>
              </w:rPr>
              <w:t xml:space="preserve">Pg. </w:t>
            </w:r>
            <w:r>
              <w:rPr>
                <w:b/>
                <w:sz w:val="22"/>
                <w:szCs w:val="22"/>
              </w:rPr>
              <w:t xml:space="preserve">12 </w:t>
            </w:r>
            <w:r w:rsidRPr="00D365B8">
              <w:rPr>
                <w:b/>
                <w:sz w:val="22"/>
                <w:szCs w:val="22"/>
              </w:rPr>
              <w:t>2.2.</w:t>
            </w:r>
            <w:r>
              <w:rPr>
                <w:b/>
                <w:sz w:val="22"/>
                <w:szCs w:val="22"/>
              </w:rPr>
              <w:t>12</w:t>
            </w:r>
          </w:p>
        </w:tc>
        <w:tc>
          <w:tcPr>
            <w:tcW w:w="22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Initial Installation</w:t>
            </w:r>
          </w:p>
        </w:tc>
        <w:tc>
          <w:tcPr>
            <w:tcW w:w="1350"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Designated Key Operator</w:t>
            </w:r>
          </w:p>
        </w:tc>
        <w:tc>
          <w:tcPr>
            <w:tcW w:w="1777" w:type="dxa"/>
            <w:shd w:val="clear" w:color="auto" w:fill="auto"/>
          </w:tcPr>
          <w:p w:rsidR="00204E6A" w:rsidRPr="0031061D" w:rsidP="00F24C8B">
            <w:pPr>
              <w:widowControl w:val="0"/>
              <w:autoSpaceDE w:val="0"/>
              <w:autoSpaceDN w:val="0"/>
              <w:adjustRightInd w:val="0"/>
              <w:rPr>
                <w:sz w:val="22"/>
                <w:szCs w:val="22"/>
              </w:rPr>
            </w:pPr>
            <w:r w:rsidRPr="0031061D">
              <w:rPr>
                <w:sz w:val="22"/>
                <w:szCs w:val="22"/>
              </w:rPr>
              <w:t>In person</w:t>
            </w:r>
          </w:p>
        </w:tc>
      </w:tr>
      <w:tr w:rsidTr="00204E6A">
        <w:tblPrEx>
          <w:tblW w:w="9900" w:type="dxa"/>
          <w:tblInd w:w="-185" w:type="dxa"/>
          <w:tblLayout w:type="fixed"/>
          <w:tblLook w:val="01E0"/>
        </w:tblPrEx>
        <w:tc>
          <w:tcPr>
            <w:tcW w:w="1272" w:type="dxa"/>
          </w:tcPr>
          <w:p w:rsidR="00204E6A" w:rsidRPr="0071497E" w:rsidP="00F24C8B">
            <w:pPr>
              <w:widowControl w:val="0"/>
              <w:autoSpaceDE w:val="0"/>
              <w:autoSpaceDN w:val="0"/>
              <w:adjustRightInd w:val="0"/>
              <w:rPr>
                <w:sz w:val="22"/>
                <w:szCs w:val="22"/>
              </w:rPr>
            </w:pPr>
            <w:r w:rsidRPr="0071497E">
              <w:rPr>
                <w:sz w:val="22"/>
                <w:szCs w:val="22"/>
              </w:rPr>
              <w:t>7</w:t>
            </w:r>
          </w:p>
        </w:tc>
        <w:tc>
          <w:tcPr>
            <w:tcW w:w="2002" w:type="dxa"/>
            <w:shd w:val="clear" w:color="auto" w:fill="auto"/>
          </w:tcPr>
          <w:p w:rsidR="00204E6A" w:rsidRPr="0071497E" w:rsidP="00F24C8B">
            <w:pPr>
              <w:widowControl w:val="0"/>
              <w:autoSpaceDE w:val="0"/>
              <w:autoSpaceDN w:val="0"/>
              <w:adjustRightInd w:val="0"/>
              <w:rPr>
                <w:sz w:val="22"/>
                <w:szCs w:val="22"/>
              </w:rPr>
            </w:pPr>
            <w:r w:rsidRPr="0071497E">
              <w:rPr>
                <w:sz w:val="22"/>
                <w:szCs w:val="22"/>
              </w:rPr>
              <w:t>Reference Range Validation assessment in accordance with CLSI guidelines</w:t>
            </w:r>
          </w:p>
        </w:tc>
        <w:tc>
          <w:tcPr>
            <w:tcW w:w="1249" w:type="dxa"/>
            <w:shd w:val="clear" w:color="auto" w:fill="auto"/>
          </w:tcPr>
          <w:p w:rsidR="00204E6A" w:rsidRPr="0071497E" w:rsidP="00F24C8B">
            <w:pPr>
              <w:widowControl w:val="0"/>
              <w:autoSpaceDE w:val="0"/>
              <w:autoSpaceDN w:val="0"/>
              <w:adjustRightInd w:val="0"/>
              <w:rPr>
                <w:b/>
                <w:sz w:val="22"/>
                <w:szCs w:val="22"/>
              </w:rPr>
            </w:pPr>
            <w:r w:rsidRPr="0071497E">
              <w:rPr>
                <w:b/>
                <w:sz w:val="22"/>
                <w:szCs w:val="22"/>
              </w:rPr>
              <w:t>Pg. 13 2.2.14</w:t>
            </w:r>
          </w:p>
        </w:tc>
        <w:tc>
          <w:tcPr>
            <w:tcW w:w="2250" w:type="dxa"/>
            <w:shd w:val="clear" w:color="auto" w:fill="auto"/>
          </w:tcPr>
          <w:p w:rsidR="00204E6A" w:rsidRPr="0071497E" w:rsidP="00F24C8B">
            <w:pPr>
              <w:widowControl w:val="0"/>
              <w:autoSpaceDE w:val="0"/>
              <w:autoSpaceDN w:val="0"/>
              <w:adjustRightInd w:val="0"/>
              <w:rPr>
                <w:sz w:val="22"/>
                <w:szCs w:val="22"/>
              </w:rPr>
            </w:pPr>
            <w:r w:rsidRPr="0071497E">
              <w:rPr>
                <w:sz w:val="22"/>
                <w:szCs w:val="22"/>
              </w:rPr>
              <w:t>Initial Installation</w:t>
            </w:r>
          </w:p>
        </w:tc>
        <w:tc>
          <w:tcPr>
            <w:tcW w:w="1350" w:type="dxa"/>
            <w:shd w:val="clear" w:color="auto" w:fill="auto"/>
          </w:tcPr>
          <w:p w:rsidR="00204E6A" w:rsidRPr="0071497E" w:rsidP="00F24C8B">
            <w:pPr>
              <w:widowControl w:val="0"/>
              <w:autoSpaceDE w:val="0"/>
              <w:autoSpaceDN w:val="0"/>
              <w:adjustRightInd w:val="0"/>
              <w:rPr>
                <w:sz w:val="22"/>
                <w:szCs w:val="22"/>
              </w:rPr>
            </w:pPr>
            <w:r w:rsidRPr="0071497E">
              <w:rPr>
                <w:sz w:val="22"/>
                <w:szCs w:val="22"/>
              </w:rPr>
              <w:t>Designated Key Operator</w:t>
            </w:r>
          </w:p>
        </w:tc>
        <w:tc>
          <w:tcPr>
            <w:tcW w:w="1777" w:type="dxa"/>
            <w:shd w:val="clear" w:color="auto" w:fill="auto"/>
          </w:tcPr>
          <w:p w:rsidR="00204E6A" w:rsidRPr="0071497E" w:rsidP="00F24C8B">
            <w:pPr>
              <w:widowControl w:val="0"/>
              <w:autoSpaceDE w:val="0"/>
              <w:autoSpaceDN w:val="0"/>
              <w:adjustRightInd w:val="0"/>
              <w:rPr>
                <w:sz w:val="22"/>
                <w:szCs w:val="22"/>
              </w:rPr>
            </w:pPr>
            <w:r w:rsidRPr="0071497E">
              <w:rPr>
                <w:sz w:val="22"/>
                <w:szCs w:val="22"/>
              </w:rPr>
              <w:t>In person</w:t>
            </w:r>
          </w:p>
        </w:tc>
      </w:tr>
    </w:tbl>
    <w:p w:rsidR="00204E6A" w:rsidRPr="00335EDC"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RPr="00335EDC"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RPr="00335EDC" w:rsidP="0020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ind w:left="360"/>
        <w:contextualSpacing/>
        <w:rPr>
          <w:sz w:val="22"/>
          <w:szCs w:val="22"/>
        </w:rPr>
      </w:pPr>
    </w:p>
    <w:p w:rsidR="00204E6A" w:rsidRPr="009029E3" w:rsidP="00204E6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contextualSpacing/>
        <w:rPr>
          <w:sz w:val="22"/>
          <w:szCs w:val="22"/>
        </w:rPr>
      </w:pPr>
      <w:r w:rsidRPr="00D365B8">
        <w:rPr>
          <w:b/>
          <w:bCs/>
          <w:sz w:val="22"/>
          <w:szCs w:val="22"/>
        </w:rPr>
        <w:t>PERFORMANCE REQUIREMENTS SUMMARY</w:t>
      </w:r>
      <w:r>
        <w:rPr>
          <w:b/>
          <w:bCs/>
          <w:sz w:val="22"/>
          <w:szCs w:val="22"/>
        </w:rPr>
        <w:t>:</w:t>
      </w:r>
      <w:r w:rsidRPr="00D365B8">
        <w:rPr>
          <w:b/>
          <w:bCs/>
          <w:sz w:val="22"/>
          <w:szCs w:val="22"/>
        </w:rPr>
        <w:t xml:space="preserve">  </w:t>
      </w:r>
      <w:r w:rsidRPr="00D365B8">
        <w:rPr>
          <w:sz w:val="22"/>
          <w:szCs w:val="22"/>
        </w:rPr>
        <w:t xml:space="preserve">The contractor service requirements are summarized into performance objectives that relate directly to mission essential items.  The performance threshold briefly describes the minimum acceptable levels of service required for each requirement.  These thresholds are critical </w:t>
      </w:r>
      <w:r w:rsidRPr="009029E3">
        <w:rPr>
          <w:sz w:val="22"/>
          <w:szCs w:val="22"/>
        </w:rPr>
        <w:t>to mission success.</w:t>
      </w:r>
    </w:p>
    <w:p w:rsidR="00204E6A" w:rsidRPr="009029E3" w:rsidP="00204E6A">
      <w:pPr>
        <w:rPr>
          <w:sz w:val="22"/>
          <w:szCs w:val="22"/>
        </w:rPr>
      </w:pPr>
      <w:r w:rsidRPr="009029E3">
        <w:rPr>
          <w:sz w:val="22"/>
          <w:szCs w:val="22"/>
        </w:rPr>
        <w:tab/>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990"/>
        <w:gridCol w:w="1710"/>
        <w:gridCol w:w="1530"/>
        <w:gridCol w:w="1823"/>
        <w:gridCol w:w="1980"/>
        <w:gridCol w:w="1147"/>
      </w:tblGrid>
      <w:tr w:rsidTr="00204E6A">
        <w:tblPrEx>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30" w:type="dxa"/>
          </w:tcPr>
          <w:p w:rsidR="00204E6A" w:rsidRPr="009029E3" w:rsidP="00F24C8B">
            <w:pPr>
              <w:autoSpaceDE w:val="0"/>
              <w:autoSpaceDN w:val="0"/>
              <w:adjustRightInd w:val="0"/>
              <w:rPr>
                <w:b/>
                <w:bCs/>
                <w:sz w:val="22"/>
                <w:szCs w:val="22"/>
              </w:rPr>
            </w:pPr>
            <w:r w:rsidRPr="009029E3">
              <w:rPr>
                <w:b/>
                <w:bCs/>
                <w:sz w:val="22"/>
                <w:szCs w:val="22"/>
              </w:rPr>
              <w:t>TASK</w:t>
            </w:r>
          </w:p>
        </w:tc>
        <w:tc>
          <w:tcPr>
            <w:tcW w:w="990" w:type="dxa"/>
          </w:tcPr>
          <w:p w:rsidR="00204E6A" w:rsidRPr="009029E3" w:rsidP="00F24C8B">
            <w:pPr>
              <w:autoSpaceDE w:val="0"/>
              <w:autoSpaceDN w:val="0"/>
              <w:adjustRightInd w:val="0"/>
              <w:rPr>
                <w:b/>
                <w:bCs/>
                <w:sz w:val="22"/>
                <w:szCs w:val="22"/>
              </w:rPr>
            </w:pPr>
            <w:r w:rsidRPr="009029E3">
              <w:rPr>
                <w:b/>
                <w:bCs/>
                <w:sz w:val="22"/>
                <w:szCs w:val="22"/>
              </w:rPr>
              <w:t>SECTION</w:t>
            </w:r>
          </w:p>
        </w:tc>
        <w:tc>
          <w:tcPr>
            <w:tcW w:w="1710" w:type="dxa"/>
            <w:shd w:val="clear" w:color="auto" w:fill="auto"/>
          </w:tcPr>
          <w:p w:rsidR="00204E6A" w:rsidRPr="009029E3" w:rsidP="00F24C8B">
            <w:pPr>
              <w:autoSpaceDE w:val="0"/>
              <w:autoSpaceDN w:val="0"/>
              <w:adjustRightInd w:val="0"/>
              <w:rPr>
                <w:b/>
                <w:bCs/>
                <w:sz w:val="22"/>
                <w:szCs w:val="22"/>
              </w:rPr>
            </w:pPr>
            <w:r w:rsidRPr="009029E3">
              <w:rPr>
                <w:b/>
                <w:bCs/>
                <w:sz w:val="22"/>
                <w:szCs w:val="22"/>
              </w:rPr>
              <w:t>REQUIRED</w:t>
            </w:r>
          </w:p>
          <w:p w:rsidR="00204E6A" w:rsidRPr="009029E3" w:rsidP="00F24C8B">
            <w:pPr>
              <w:autoSpaceDE w:val="0"/>
              <w:autoSpaceDN w:val="0"/>
              <w:adjustRightInd w:val="0"/>
              <w:rPr>
                <w:b/>
                <w:bCs/>
                <w:sz w:val="22"/>
                <w:szCs w:val="22"/>
              </w:rPr>
            </w:pPr>
            <w:r w:rsidRPr="009029E3">
              <w:rPr>
                <w:b/>
                <w:bCs/>
                <w:sz w:val="22"/>
                <w:szCs w:val="22"/>
              </w:rPr>
              <w:t>SERVICE</w:t>
            </w:r>
          </w:p>
          <w:p w:rsidR="00204E6A" w:rsidRPr="009029E3" w:rsidP="00F24C8B">
            <w:pPr>
              <w:autoSpaceDE w:val="0"/>
              <w:autoSpaceDN w:val="0"/>
              <w:adjustRightInd w:val="0"/>
              <w:rPr>
                <w:b/>
                <w:bCs/>
                <w:sz w:val="22"/>
                <w:szCs w:val="22"/>
              </w:rPr>
            </w:pPr>
            <w:r w:rsidRPr="009029E3">
              <w:rPr>
                <w:b/>
                <w:bCs/>
                <w:sz w:val="22"/>
                <w:szCs w:val="22"/>
              </w:rPr>
              <w:t>Performance</w:t>
            </w:r>
          </w:p>
          <w:p w:rsidR="00204E6A" w:rsidRPr="009029E3" w:rsidP="00F24C8B">
            <w:pPr>
              <w:autoSpaceDE w:val="0"/>
              <w:autoSpaceDN w:val="0"/>
              <w:adjustRightInd w:val="0"/>
              <w:rPr>
                <w:b/>
                <w:sz w:val="22"/>
                <w:szCs w:val="22"/>
              </w:rPr>
            </w:pPr>
            <w:r w:rsidRPr="009029E3">
              <w:rPr>
                <w:b/>
                <w:bCs/>
                <w:sz w:val="22"/>
                <w:szCs w:val="22"/>
              </w:rPr>
              <w:t>Requirements</w:t>
            </w:r>
          </w:p>
        </w:tc>
        <w:tc>
          <w:tcPr>
            <w:tcW w:w="1530" w:type="dxa"/>
            <w:shd w:val="clear" w:color="auto" w:fill="auto"/>
          </w:tcPr>
          <w:p w:rsidR="00204E6A" w:rsidRPr="009029E3" w:rsidP="00F24C8B">
            <w:pPr>
              <w:autoSpaceDE w:val="0"/>
              <w:autoSpaceDN w:val="0"/>
              <w:adjustRightInd w:val="0"/>
              <w:rPr>
                <w:b/>
                <w:bCs/>
                <w:sz w:val="22"/>
                <w:szCs w:val="22"/>
              </w:rPr>
            </w:pPr>
            <w:r w:rsidRPr="009029E3">
              <w:rPr>
                <w:b/>
                <w:bCs/>
                <w:sz w:val="22"/>
                <w:szCs w:val="22"/>
              </w:rPr>
              <w:t>Substandard</w:t>
            </w:r>
          </w:p>
          <w:p w:rsidR="00204E6A" w:rsidRPr="009029E3" w:rsidP="00F24C8B">
            <w:pPr>
              <w:autoSpaceDE w:val="0"/>
              <w:autoSpaceDN w:val="0"/>
              <w:adjustRightInd w:val="0"/>
              <w:rPr>
                <w:b/>
                <w:bCs/>
                <w:sz w:val="22"/>
                <w:szCs w:val="22"/>
              </w:rPr>
            </w:pPr>
            <w:r w:rsidRPr="009029E3">
              <w:rPr>
                <w:b/>
                <w:bCs/>
                <w:sz w:val="22"/>
                <w:szCs w:val="22"/>
              </w:rPr>
              <w:t>Performance</w:t>
            </w:r>
          </w:p>
          <w:p w:rsidR="00204E6A" w:rsidRPr="009029E3" w:rsidP="00F24C8B">
            <w:pPr>
              <w:autoSpaceDE w:val="0"/>
              <w:autoSpaceDN w:val="0"/>
              <w:adjustRightInd w:val="0"/>
              <w:rPr>
                <w:b/>
                <w:sz w:val="22"/>
                <w:szCs w:val="22"/>
              </w:rPr>
            </w:pPr>
            <w:r w:rsidRPr="009029E3">
              <w:rPr>
                <w:b/>
                <w:bCs/>
                <w:sz w:val="22"/>
                <w:szCs w:val="22"/>
              </w:rPr>
              <w:t>Standards</w:t>
            </w:r>
          </w:p>
        </w:tc>
        <w:tc>
          <w:tcPr>
            <w:tcW w:w="1823" w:type="dxa"/>
            <w:shd w:val="clear" w:color="auto" w:fill="auto"/>
          </w:tcPr>
          <w:p w:rsidR="00204E6A" w:rsidRPr="009029E3" w:rsidP="00F24C8B">
            <w:pPr>
              <w:autoSpaceDE w:val="0"/>
              <w:autoSpaceDN w:val="0"/>
              <w:adjustRightInd w:val="0"/>
              <w:rPr>
                <w:b/>
                <w:bCs/>
                <w:sz w:val="22"/>
                <w:szCs w:val="22"/>
              </w:rPr>
            </w:pPr>
            <w:r w:rsidRPr="009029E3">
              <w:rPr>
                <w:b/>
                <w:bCs/>
                <w:sz w:val="22"/>
                <w:szCs w:val="22"/>
              </w:rPr>
              <w:t>ACCEPTABLE QUALITY LEVEL</w:t>
            </w:r>
          </w:p>
          <w:p w:rsidR="00204E6A" w:rsidRPr="009029E3" w:rsidP="00F24C8B">
            <w:pPr>
              <w:autoSpaceDE w:val="0"/>
              <w:autoSpaceDN w:val="0"/>
              <w:adjustRightInd w:val="0"/>
              <w:rPr>
                <w:b/>
                <w:sz w:val="22"/>
                <w:szCs w:val="22"/>
              </w:rPr>
            </w:pPr>
            <w:r w:rsidRPr="009029E3">
              <w:rPr>
                <w:b/>
                <w:bCs/>
                <w:sz w:val="22"/>
                <w:szCs w:val="22"/>
              </w:rPr>
              <w:t>(AQL)</w:t>
            </w:r>
          </w:p>
        </w:tc>
        <w:tc>
          <w:tcPr>
            <w:tcW w:w="1980" w:type="dxa"/>
            <w:shd w:val="clear" w:color="auto" w:fill="auto"/>
          </w:tcPr>
          <w:p w:rsidR="00204E6A" w:rsidRPr="009029E3" w:rsidP="00F24C8B">
            <w:pPr>
              <w:autoSpaceDE w:val="0"/>
              <w:autoSpaceDN w:val="0"/>
              <w:adjustRightInd w:val="0"/>
              <w:rPr>
                <w:b/>
                <w:bCs/>
                <w:sz w:val="22"/>
                <w:szCs w:val="22"/>
              </w:rPr>
            </w:pPr>
            <w:r w:rsidRPr="009029E3">
              <w:rPr>
                <w:b/>
                <w:bCs/>
                <w:sz w:val="22"/>
                <w:szCs w:val="22"/>
              </w:rPr>
              <w:t>METHOD OF</w:t>
            </w:r>
          </w:p>
          <w:p w:rsidR="00204E6A" w:rsidRPr="009029E3" w:rsidP="00F24C8B">
            <w:pPr>
              <w:autoSpaceDE w:val="0"/>
              <w:autoSpaceDN w:val="0"/>
              <w:adjustRightInd w:val="0"/>
              <w:rPr>
                <w:b/>
                <w:bCs/>
                <w:sz w:val="22"/>
                <w:szCs w:val="22"/>
              </w:rPr>
            </w:pPr>
            <w:r w:rsidRPr="009029E3">
              <w:rPr>
                <w:b/>
                <w:bCs/>
                <w:sz w:val="22"/>
                <w:szCs w:val="22"/>
              </w:rPr>
              <w:t>SURVEILLANCE</w:t>
            </w:r>
          </w:p>
          <w:p w:rsidR="00204E6A" w:rsidRPr="009029E3" w:rsidP="00F24C8B">
            <w:pPr>
              <w:autoSpaceDE w:val="0"/>
              <w:autoSpaceDN w:val="0"/>
              <w:adjustRightInd w:val="0"/>
              <w:rPr>
                <w:b/>
                <w:bCs/>
                <w:sz w:val="22"/>
                <w:szCs w:val="22"/>
              </w:rPr>
            </w:pPr>
            <w:r w:rsidRPr="009029E3">
              <w:rPr>
                <w:b/>
                <w:bCs/>
                <w:sz w:val="22"/>
                <w:szCs w:val="22"/>
              </w:rPr>
              <w:t>(Quality</w:t>
            </w:r>
          </w:p>
          <w:p w:rsidR="00204E6A" w:rsidRPr="009029E3" w:rsidP="00F24C8B">
            <w:pPr>
              <w:autoSpaceDE w:val="0"/>
              <w:autoSpaceDN w:val="0"/>
              <w:adjustRightInd w:val="0"/>
              <w:rPr>
                <w:b/>
                <w:sz w:val="22"/>
                <w:szCs w:val="22"/>
              </w:rPr>
            </w:pPr>
            <w:r w:rsidRPr="009029E3">
              <w:rPr>
                <w:b/>
                <w:bCs/>
                <w:sz w:val="22"/>
                <w:szCs w:val="22"/>
              </w:rPr>
              <w:t>Assurance)</w:t>
            </w:r>
          </w:p>
        </w:tc>
        <w:tc>
          <w:tcPr>
            <w:tcW w:w="1147" w:type="dxa"/>
            <w:shd w:val="clear" w:color="auto" w:fill="auto"/>
          </w:tcPr>
          <w:p w:rsidR="00204E6A" w:rsidRPr="009029E3" w:rsidP="00F24C8B">
            <w:pPr>
              <w:autoSpaceDE w:val="0"/>
              <w:autoSpaceDN w:val="0"/>
              <w:adjustRightInd w:val="0"/>
              <w:rPr>
                <w:b/>
                <w:bCs/>
                <w:sz w:val="22"/>
                <w:szCs w:val="22"/>
              </w:rPr>
            </w:pPr>
            <w:r w:rsidRPr="009029E3">
              <w:rPr>
                <w:b/>
                <w:bCs/>
                <w:sz w:val="22"/>
                <w:szCs w:val="22"/>
              </w:rPr>
              <w:t>PERCENTAGE</w:t>
            </w:r>
          </w:p>
          <w:p w:rsidR="00204E6A" w:rsidRPr="009029E3" w:rsidP="00F24C8B">
            <w:pPr>
              <w:autoSpaceDE w:val="0"/>
              <w:autoSpaceDN w:val="0"/>
              <w:adjustRightInd w:val="0"/>
              <w:rPr>
                <w:b/>
                <w:bCs/>
                <w:sz w:val="22"/>
                <w:szCs w:val="22"/>
              </w:rPr>
            </w:pPr>
            <w:r w:rsidRPr="009029E3">
              <w:rPr>
                <w:b/>
                <w:bCs/>
                <w:sz w:val="22"/>
                <w:szCs w:val="22"/>
              </w:rPr>
              <w:t>REDUCTION IF EXCEED</w:t>
            </w:r>
          </w:p>
          <w:p w:rsidR="00204E6A" w:rsidRPr="009029E3" w:rsidP="00F24C8B">
            <w:pPr>
              <w:autoSpaceDE w:val="0"/>
              <w:autoSpaceDN w:val="0"/>
              <w:adjustRightInd w:val="0"/>
              <w:ind w:right="1424"/>
              <w:rPr>
                <w:b/>
                <w:bCs/>
                <w:sz w:val="22"/>
                <w:szCs w:val="22"/>
              </w:rPr>
            </w:pPr>
            <w:r w:rsidRPr="009029E3">
              <w:rPr>
                <w:b/>
                <w:bCs/>
                <w:sz w:val="22"/>
                <w:szCs w:val="22"/>
              </w:rPr>
              <w:t>AQL</w:t>
            </w:r>
          </w:p>
        </w:tc>
      </w:tr>
      <w:tr w:rsidTr="00204E6A">
        <w:tblPrEx>
          <w:tblW w:w="10710" w:type="dxa"/>
          <w:tblInd w:w="-725" w:type="dxa"/>
          <w:tblLayout w:type="fixed"/>
          <w:tblLook w:val="01E0"/>
        </w:tblPrEx>
        <w:tc>
          <w:tcPr>
            <w:tcW w:w="1530" w:type="dxa"/>
          </w:tcPr>
          <w:p w:rsidR="00204E6A" w:rsidRPr="009029E3" w:rsidP="00F24C8B">
            <w:pPr>
              <w:widowControl w:val="0"/>
              <w:autoSpaceDE w:val="0"/>
              <w:autoSpaceDN w:val="0"/>
              <w:adjustRightInd w:val="0"/>
              <w:rPr>
                <w:sz w:val="22"/>
                <w:szCs w:val="22"/>
              </w:rPr>
            </w:pPr>
            <w:r w:rsidRPr="009029E3">
              <w:rPr>
                <w:sz w:val="22"/>
                <w:szCs w:val="22"/>
              </w:rPr>
              <w:t>1</w:t>
            </w:r>
          </w:p>
        </w:tc>
        <w:tc>
          <w:tcPr>
            <w:tcW w:w="990" w:type="dxa"/>
          </w:tcPr>
          <w:p w:rsidR="00204E6A" w:rsidRPr="009029E3" w:rsidP="00F24C8B">
            <w:pPr>
              <w:widowControl w:val="0"/>
              <w:autoSpaceDE w:val="0"/>
              <w:autoSpaceDN w:val="0"/>
              <w:adjustRightInd w:val="0"/>
              <w:rPr>
                <w:b/>
                <w:sz w:val="22"/>
                <w:szCs w:val="22"/>
              </w:rPr>
            </w:pPr>
            <w:r w:rsidRPr="009029E3">
              <w:rPr>
                <w:b/>
                <w:sz w:val="22"/>
                <w:szCs w:val="22"/>
              </w:rPr>
              <w:t>Pg. 6 2.2.</w:t>
            </w:r>
            <w:r>
              <w:rPr>
                <w:b/>
                <w:sz w:val="22"/>
                <w:szCs w:val="22"/>
              </w:rPr>
              <w:t>9</w:t>
            </w:r>
            <w:r w:rsidRPr="009029E3">
              <w:rPr>
                <w:b/>
                <w:sz w:val="22"/>
                <w:szCs w:val="22"/>
              </w:rPr>
              <w:t>.2.1</w:t>
            </w:r>
          </w:p>
        </w:tc>
        <w:tc>
          <w:tcPr>
            <w:tcW w:w="1710"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No more than 10% repeats - CPRR</w:t>
            </w:r>
          </w:p>
        </w:tc>
        <w:tc>
          <w:tcPr>
            <w:tcW w:w="1530"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Greater than 10% repeats.</w:t>
            </w:r>
          </w:p>
        </w:tc>
        <w:tc>
          <w:tcPr>
            <w:tcW w:w="1823" w:type="dxa"/>
            <w:shd w:val="clear" w:color="auto" w:fill="auto"/>
          </w:tcPr>
          <w:p w:rsidR="00204E6A" w:rsidRPr="009029E3" w:rsidP="00F24C8B">
            <w:pPr>
              <w:autoSpaceDE w:val="0"/>
              <w:autoSpaceDN w:val="0"/>
              <w:adjustRightInd w:val="0"/>
              <w:rPr>
                <w:sz w:val="22"/>
                <w:szCs w:val="22"/>
              </w:rPr>
            </w:pPr>
            <w:r w:rsidRPr="009029E3">
              <w:rPr>
                <w:sz w:val="22"/>
                <w:szCs w:val="22"/>
              </w:rPr>
              <w:t>0% - No deviation allowable</w:t>
            </w:r>
          </w:p>
          <w:p w:rsidR="00204E6A" w:rsidRPr="009029E3" w:rsidP="00F24C8B">
            <w:pPr>
              <w:widowControl w:val="0"/>
              <w:autoSpaceDE w:val="0"/>
              <w:autoSpaceDN w:val="0"/>
              <w:adjustRightInd w:val="0"/>
              <w:rPr>
                <w:sz w:val="22"/>
                <w:szCs w:val="22"/>
              </w:rPr>
            </w:pPr>
          </w:p>
        </w:tc>
        <w:tc>
          <w:tcPr>
            <w:tcW w:w="1980"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VA POC Monitoring</w:t>
            </w:r>
          </w:p>
        </w:tc>
        <w:tc>
          <w:tcPr>
            <w:tcW w:w="1147"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15% of Average Daily rate (Average Daily rate will be calculated based on the monthly rate divided by the number of operational days) per site.</w:t>
            </w:r>
          </w:p>
        </w:tc>
      </w:tr>
      <w:tr w:rsidTr="00204E6A">
        <w:tblPrEx>
          <w:tblW w:w="10710" w:type="dxa"/>
          <w:tblInd w:w="-725" w:type="dxa"/>
          <w:tblLayout w:type="fixed"/>
          <w:tblLook w:val="01E0"/>
        </w:tblPrEx>
        <w:tc>
          <w:tcPr>
            <w:tcW w:w="1530" w:type="dxa"/>
          </w:tcPr>
          <w:p w:rsidR="00204E6A" w:rsidRPr="00D377D6" w:rsidP="00F24C8B">
            <w:pPr>
              <w:autoSpaceDE w:val="0"/>
              <w:autoSpaceDN w:val="0"/>
              <w:adjustRightInd w:val="0"/>
              <w:rPr>
                <w:sz w:val="22"/>
                <w:szCs w:val="22"/>
              </w:rPr>
            </w:pPr>
            <w:r w:rsidRPr="00D377D6">
              <w:rPr>
                <w:sz w:val="22"/>
                <w:szCs w:val="22"/>
              </w:rPr>
              <w:t>2</w:t>
            </w:r>
          </w:p>
        </w:tc>
        <w:tc>
          <w:tcPr>
            <w:tcW w:w="990" w:type="dxa"/>
          </w:tcPr>
          <w:p w:rsidR="00204E6A" w:rsidP="00F24C8B">
            <w:pPr>
              <w:autoSpaceDE w:val="0"/>
              <w:autoSpaceDN w:val="0"/>
              <w:adjustRightInd w:val="0"/>
              <w:rPr>
                <w:b/>
                <w:sz w:val="22"/>
                <w:szCs w:val="22"/>
              </w:rPr>
            </w:pPr>
            <w:r w:rsidRPr="00D377D6">
              <w:rPr>
                <w:b/>
                <w:sz w:val="22"/>
                <w:szCs w:val="22"/>
              </w:rPr>
              <w:t xml:space="preserve">Pg. </w:t>
            </w:r>
            <w:r>
              <w:rPr>
                <w:b/>
                <w:sz w:val="22"/>
                <w:szCs w:val="22"/>
              </w:rPr>
              <w:t>6</w:t>
            </w:r>
            <w:r w:rsidRPr="00D377D6">
              <w:rPr>
                <w:b/>
                <w:sz w:val="22"/>
                <w:szCs w:val="22"/>
              </w:rPr>
              <w:t xml:space="preserve"> 2.2.</w:t>
            </w:r>
            <w:r>
              <w:rPr>
                <w:b/>
                <w:sz w:val="22"/>
                <w:szCs w:val="22"/>
              </w:rPr>
              <w:t>9.1.17.1</w:t>
            </w:r>
          </w:p>
          <w:p w:rsidR="00204E6A" w:rsidP="00F24C8B">
            <w:pPr>
              <w:autoSpaceDE w:val="0"/>
              <w:autoSpaceDN w:val="0"/>
              <w:adjustRightInd w:val="0"/>
              <w:rPr>
                <w:b/>
                <w:sz w:val="22"/>
                <w:szCs w:val="22"/>
              </w:rPr>
            </w:pPr>
            <w:r>
              <w:rPr>
                <w:b/>
                <w:sz w:val="22"/>
                <w:szCs w:val="22"/>
              </w:rPr>
              <w:t>Pg. 7 2.2.9.2.4.1</w:t>
            </w:r>
          </w:p>
          <w:p w:rsidR="00204E6A" w:rsidRPr="00D377D6" w:rsidP="00F24C8B">
            <w:pPr>
              <w:autoSpaceDE w:val="0"/>
              <w:autoSpaceDN w:val="0"/>
              <w:adjustRightInd w:val="0"/>
              <w:rPr>
                <w:b/>
                <w:sz w:val="22"/>
                <w:szCs w:val="22"/>
              </w:rPr>
            </w:pPr>
          </w:p>
        </w:tc>
        <w:tc>
          <w:tcPr>
            <w:tcW w:w="1710" w:type="dxa"/>
            <w:shd w:val="clear" w:color="auto" w:fill="auto"/>
          </w:tcPr>
          <w:p w:rsidR="00204E6A" w:rsidRPr="00D377D6" w:rsidP="00F24C8B">
            <w:pPr>
              <w:autoSpaceDE w:val="0"/>
              <w:autoSpaceDN w:val="0"/>
              <w:adjustRightInd w:val="0"/>
              <w:rPr>
                <w:sz w:val="22"/>
                <w:szCs w:val="22"/>
              </w:rPr>
            </w:pPr>
            <w:r w:rsidRPr="00D377D6">
              <w:rPr>
                <w:sz w:val="22"/>
                <w:szCs w:val="22"/>
              </w:rPr>
              <w:t>Barcode reader less than 1.0% failure rate.</w:t>
            </w:r>
          </w:p>
        </w:tc>
        <w:tc>
          <w:tcPr>
            <w:tcW w:w="1530" w:type="dxa"/>
            <w:shd w:val="clear" w:color="auto" w:fill="auto"/>
          </w:tcPr>
          <w:p w:rsidR="00204E6A" w:rsidRPr="00D377D6" w:rsidP="00F24C8B">
            <w:pPr>
              <w:autoSpaceDE w:val="0"/>
              <w:autoSpaceDN w:val="0"/>
              <w:adjustRightInd w:val="0"/>
              <w:rPr>
                <w:sz w:val="22"/>
                <w:szCs w:val="22"/>
              </w:rPr>
            </w:pPr>
            <w:r>
              <w:rPr>
                <w:sz w:val="22"/>
                <w:szCs w:val="22"/>
              </w:rPr>
              <w:t>Greater than 1% failure rate.</w:t>
            </w:r>
          </w:p>
        </w:tc>
        <w:tc>
          <w:tcPr>
            <w:tcW w:w="1823" w:type="dxa"/>
            <w:shd w:val="clear" w:color="auto" w:fill="auto"/>
          </w:tcPr>
          <w:p w:rsidR="00204E6A" w:rsidRPr="00D377D6" w:rsidP="00F24C8B">
            <w:pPr>
              <w:autoSpaceDE w:val="0"/>
              <w:autoSpaceDN w:val="0"/>
              <w:adjustRightInd w:val="0"/>
              <w:rPr>
                <w:sz w:val="22"/>
                <w:szCs w:val="22"/>
              </w:rPr>
            </w:pPr>
            <w:r w:rsidRPr="00D377D6">
              <w:rPr>
                <w:sz w:val="22"/>
                <w:szCs w:val="22"/>
              </w:rPr>
              <w:t>0% - No deviation allowable</w:t>
            </w:r>
          </w:p>
        </w:tc>
        <w:tc>
          <w:tcPr>
            <w:tcW w:w="1980" w:type="dxa"/>
            <w:shd w:val="clear" w:color="auto" w:fill="auto"/>
          </w:tcPr>
          <w:p w:rsidR="00204E6A" w:rsidRPr="00D377D6" w:rsidP="00F24C8B">
            <w:pPr>
              <w:autoSpaceDE w:val="0"/>
              <w:autoSpaceDN w:val="0"/>
              <w:adjustRightInd w:val="0"/>
              <w:rPr>
                <w:sz w:val="22"/>
                <w:szCs w:val="22"/>
              </w:rPr>
            </w:pPr>
            <w:r w:rsidRPr="00D377D6">
              <w:rPr>
                <w:sz w:val="22"/>
                <w:szCs w:val="22"/>
              </w:rPr>
              <w:t xml:space="preserve">VA POC Monitoring </w:t>
            </w:r>
          </w:p>
          <w:p w:rsidR="00204E6A" w:rsidRPr="00D377D6" w:rsidP="00F24C8B">
            <w:pPr>
              <w:autoSpaceDE w:val="0"/>
              <w:autoSpaceDN w:val="0"/>
              <w:adjustRightInd w:val="0"/>
              <w:rPr>
                <w:sz w:val="22"/>
                <w:szCs w:val="22"/>
              </w:rPr>
            </w:pPr>
          </w:p>
        </w:tc>
        <w:tc>
          <w:tcPr>
            <w:tcW w:w="1147" w:type="dxa"/>
            <w:shd w:val="clear" w:color="auto" w:fill="auto"/>
          </w:tcPr>
          <w:p w:rsidR="00204E6A" w:rsidRPr="00D377D6" w:rsidP="00F24C8B">
            <w:pPr>
              <w:autoSpaceDE w:val="0"/>
              <w:autoSpaceDN w:val="0"/>
              <w:adjustRightInd w:val="0"/>
              <w:rPr>
                <w:sz w:val="22"/>
                <w:szCs w:val="22"/>
              </w:rPr>
            </w:pPr>
            <w:r w:rsidRPr="00D377D6">
              <w:rPr>
                <w:sz w:val="22"/>
                <w:szCs w:val="22"/>
              </w:rPr>
              <w:t xml:space="preserve">25% of Average Daily rate (Average Daily rate will be calculated based on the monthly rate divided by the </w:t>
            </w:r>
            <w:r w:rsidRPr="00D377D6">
              <w:rPr>
                <w:sz w:val="22"/>
                <w:szCs w:val="22"/>
              </w:rPr>
              <w:t>number of operational days) per site.</w:t>
            </w:r>
          </w:p>
        </w:tc>
      </w:tr>
      <w:tr w:rsidTr="00204E6A">
        <w:tblPrEx>
          <w:tblW w:w="10710" w:type="dxa"/>
          <w:tblInd w:w="-725" w:type="dxa"/>
          <w:tblLayout w:type="fixed"/>
          <w:tblLook w:val="01E0"/>
        </w:tblPrEx>
        <w:trPr>
          <w:trHeight w:val="1412"/>
        </w:trPr>
        <w:tc>
          <w:tcPr>
            <w:tcW w:w="1530" w:type="dxa"/>
            <w:shd w:val="clear" w:color="auto" w:fill="auto"/>
          </w:tcPr>
          <w:p w:rsidR="00204E6A" w:rsidRPr="009029E3" w:rsidP="00F24C8B">
            <w:pPr>
              <w:autoSpaceDE w:val="0"/>
              <w:autoSpaceDN w:val="0"/>
              <w:adjustRightInd w:val="0"/>
              <w:rPr>
                <w:sz w:val="22"/>
                <w:szCs w:val="22"/>
              </w:rPr>
            </w:pPr>
            <w:r w:rsidRPr="009029E3">
              <w:rPr>
                <w:sz w:val="22"/>
                <w:szCs w:val="22"/>
              </w:rPr>
              <w:t>3</w:t>
            </w:r>
          </w:p>
        </w:tc>
        <w:tc>
          <w:tcPr>
            <w:tcW w:w="990" w:type="dxa"/>
            <w:shd w:val="clear" w:color="auto" w:fill="auto"/>
          </w:tcPr>
          <w:p w:rsidR="00204E6A" w:rsidRPr="009029E3" w:rsidP="00F24C8B">
            <w:pPr>
              <w:autoSpaceDE w:val="0"/>
              <w:autoSpaceDN w:val="0"/>
              <w:adjustRightInd w:val="0"/>
              <w:rPr>
                <w:b/>
                <w:sz w:val="22"/>
                <w:szCs w:val="22"/>
              </w:rPr>
            </w:pPr>
            <w:r w:rsidRPr="009029E3">
              <w:rPr>
                <w:b/>
                <w:sz w:val="22"/>
                <w:szCs w:val="22"/>
              </w:rPr>
              <w:t>Pg. 12 2.2.1</w:t>
            </w:r>
            <w:r>
              <w:rPr>
                <w:b/>
                <w:sz w:val="22"/>
                <w:szCs w:val="22"/>
              </w:rPr>
              <w:t>3</w:t>
            </w:r>
            <w:r w:rsidRPr="009029E3">
              <w:rPr>
                <w:b/>
                <w:sz w:val="22"/>
                <w:szCs w:val="22"/>
              </w:rPr>
              <w:t>.1.2</w:t>
            </w:r>
          </w:p>
        </w:tc>
        <w:tc>
          <w:tcPr>
            <w:tcW w:w="1710" w:type="dxa"/>
            <w:shd w:val="clear" w:color="auto" w:fill="auto"/>
          </w:tcPr>
          <w:p w:rsidR="00204E6A" w:rsidRPr="009029E3" w:rsidP="00F24C8B">
            <w:pPr>
              <w:autoSpaceDE w:val="0"/>
              <w:autoSpaceDN w:val="0"/>
              <w:adjustRightInd w:val="0"/>
              <w:rPr>
                <w:sz w:val="22"/>
                <w:szCs w:val="22"/>
              </w:rPr>
            </w:pPr>
            <w:r w:rsidRPr="009029E3">
              <w:rPr>
                <w:sz w:val="22"/>
                <w:szCs w:val="22"/>
              </w:rPr>
              <w:t xml:space="preserve">5-Point Linearity Analysis </w:t>
            </w:r>
          </w:p>
        </w:tc>
        <w:tc>
          <w:tcPr>
            <w:tcW w:w="1530" w:type="dxa"/>
            <w:shd w:val="clear" w:color="auto" w:fill="auto"/>
          </w:tcPr>
          <w:p w:rsidR="00204E6A" w:rsidRPr="009029E3" w:rsidP="00F24C8B">
            <w:pPr>
              <w:autoSpaceDE w:val="0"/>
              <w:autoSpaceDN w:val="0"/>
              <w:adjustRightInd w:val="0"/>
              <w:rPr>
                <w:sz w:val="22"/>
                <w:szCs w:val="22"/>
              </w:rPr>
            </w:pPr>
            <w:r w:rsidRPr="009029E3">
              <w:rPr>
                <w:sz w:val="22"/>
                <w:szCs w:val="22"/>
              </w:rPr>
              <w:t>Analysis not performed</w:t>
            </w:r>
          </w:p>
        </w:tc>
        <w:tc>
          <w:tcPr>
            <w:tcW w:w="1823" w:type="dxa"/>
            <w:shd w:val="clear" w:color="auto" w:fill="auto"/>
          </w:tcPr>
          <w:p w:rsidR="00204E6A" w:rsidRPr="009029E3" w:rsidP="00F24C8B">
            <w:pPr>
              <w:autoSpaceDE w:val="0"/>
              <w:autoSpaceDN w:val="0"/>
              <w:adjustRightInd w:val="0"/>
              <w:rPr>
                <w:sz w:val="22"/>
                <w:szCs w:val="22"/>
              </w:rPr>
            </w:pPr>
            <w:r w:rsidRPr="009029E3">
              <w:rPr>
                <w:sz w:val="22"/>
                <w:szCs w:val="22"/>
              </w:rPr>
              <w:t>0% - No deviation allowable</w:t>
            </w:r>
          </w:p>
        </w:tc>
        <w:tc>
          <w:tcPr>
            <w:tcW w:w="1980" w:type="dxa"/>
            <w:shd w:val="clear" w:color="auto" w:fill="auto"/>
          </w:tcPr>
          <w:p w:rsidR="00204E6A" w:rsidRPr="009029E3" w:rsidP="00F24C8B">
            <w:pPr>
              <w:autoSpaceDE w:val="0"/>
              <w:autoSpaceDN w:val="0"/>
              <w:adjustRightInd w:val="0"/>
              <w:rPr>
                <w:sz w:val="22"/>
                <w:szCs w:val="22"/>
              </w:rPr>
            </w:pPr>
            <w:r w:rsidRPr="009029E3">
              <w:rPr>
                <w:sz w:val="22"/>
                <w:szCs w:val="22"/>
              </w:rPr>
              <w:t xml:space="preserve">VA POC Monitoring </w:t>
            </w:r>
          </w:p>
          <w:p w:rsidR="00204E6A" w:rsidRPr="009029E3" w:rsidP="00F24C8B">
            <w:pPr>
              <w:autoSpaceDE w:val="0"/>
              <w:autoSpaceDN w:val="0"/>
              <w:adjustRightInd w:val="0"/>
              <w:rPr>
                <w:sz w:val="22"/>
                <w:szCs w:val="22"/>
              </w:rPr>
            </w:pPr>
          </w:p>
        </w:tc>
        <w:tc>
          <w:tcPr>
            <w:tcW w:w="1147" w:type="dxa"/>
            <w:shd w:val="clear" w:color="auto" w:fill="auto"/>
          </w:tcPr>
          <w:p w:rsidR="00204E6A" w:rsidRPr="009029E3" w:rsidP="00F24C8B">
            <w:pPr>
              <w:autoSpaceDE w:val="0"/>
              <w:autoSpaceDN w:val="0"/>
              <w:adjustRightInd w:val="0"/>
              <w:rPr>
                <w:sz w:val="22"/>
                <w:szCs w:val="22"/>
              </w:rPr>
            </w:pPr>
            <w:r w:rsidRPr="009029E3">
              <w:rPr>
                <w:sz w:val="22"/>
                <w:szCs w:val="22"/>
              </w:rPr>
              <w:t>15% deduction of monthly rate per site.</w:t>
            </w:r>
          </w:p>
        </w:tc>
      </w:tr>
      <w:tr w:rsidTr="00204E6A">
        <w:tblPrEx>
          <w:tblW w:w="10710" w:type="dxa"/>
          <w:tblInd w:w="-725" w:type="dxa"/>
          <w:tblLayout w:type="fixed"/>
          <w:tblLook w:val="01E0"/>
        </w:tblPrEx>
        <w:tc>
          <w:tcPr>
            <w:tcW w:w="1530" w:type="dxa"/>
          </w:tcPr>
          <w:p w:rsidR="00204E6A" w:rsidRPr="00771209" w:rsidP="00F24C8B">
            <w:pPr>
              <w:widowControl w:val="0"/>
              <w:autoSpaceDE w:val="0"/>
              <w:autoSpaceDN w:val="0"/>
              <w:adjustRightInd w:val="0"/>
              <w:rPr>
                <w:sz w:val="22"/>
                <w:szCs w:val="22"/>
              </w:rPr>
            </w:pPr>
            <w:r w:rsidRPr="00771209">
              <w:rPr>
                <w:sz w:val="22"/>
                <w:szCs w:val="22"/>
              </w:rPr>
              <w:t>4</w:t>
            </w:r>
          </w:p>
          <w:p w:rsidR="00204E6A" w:rsidRPr="00771209" w:rsidP="00F24C8B">
            <w:pPr>
              <w:widowControl w:val="0"/>
              <w:autoSpaceDE w:val="0"/>
              <w:autoSpaceDN w:val="0"/>
              <w:adjustRightInd w:val="0"/>
              <w:rPr>
                <w:sz w:val="22"/>
                <w:szCs w:val="22"/>
              </w:rPr>
            </w:pPr>
          </w:p>
        </w:tc>
        <w:tc>
          <w:tcPr>
            <w:tcW w:w="990" w:type="dxa"/>
          </w:tcPr>
          <w:p w:rsidR="00204E6A" w:rsidRPr="00771209" w:rsidP="00F24C8B">
            <w:pPr>
              <w:widowControl w:val="0"/>
              <w:autoSpaceDE w:val="0"/>
              <w:autoSpaceDN w:val="0"/>
              <w:adjustRightInd w:val="0"/>
              <w:rPr>
                <w:b/>
                <w:sz w:val="22"/>
                <w:szCs w:val="22"/>
              </w:rPr>
            </w:pPr>
            <w:r w:rsidRPr="00771209">
              <w:rPr>
                <w:b/>
                <w:sz w:val="22"/>
                <w:szCs w:val="22"/>
              </w:rPr>
              <w:t>Pg. 1</w:t>
            </w:r>
            <w:r w:rsidRPr="00DD7CD8">
              <w:rPr>
                <w:b/>
                <w:sz w:val="22"/>
                <w:szCs w:val="22"/>
              </w:rPr>
              <w:t xml:space="preserve">4 </w:t>
            </w:r>
            <w:r w:rsidRPr="00771209">
              <w:rPr>
                <w:b/>
                <w:sz w:val="22"/>
                <w:szCs w:val="22"/>
              </w:rPr>
              <w:t>2.2.16</w:t>
            </w:r>
          </w:p>
        </w:tc>
        <w:tc>
          <w:tcPr>
            <w:tcW w:w="1710" w:type="dxa"/>
            <w:shd w:val="clear" w:color="auto" w:fill="auto"/>
          </w:tcPr>
          <w:p w:rsidR="00204E6A" w:rsidRPr="00771209" w:rsidP="00F24C8B">
            <w:pPr>
              <w:widowControl w:val="0"/>
              <w:autoSpaceDE w:val="0"/>
              <w:autoSpaceDN w:val="0"/>
              <w:adjustRightInd w:val="0"/>
              <w:rPr>
                <w:sz w:val="22"/>
                <w:szCs w:val="22"/>
              </w:rPr>
            </w:pPr>
            <w:r w:rsidRPr="00771209">
              <w:rPr>
                <w:sz w:val="22"/>
                <w:szCs w:val="22"/>
              </w:rPr>
              <w:t>Quarterly Report of Sales</w:t>
            </w:r>
          </w:p>
        </w:tc>
        <w:tc>
          <w:tcPr>
            <w:tcW w:w="1530" w:type="dxa"/>
            <w:shd w:val="clear" w:color="auto" w:fill="auto"/>
          </w:tcPr>
          <w:p w:rsidR="00204E6A" w:rsidRPr="00771209" w:rsidP="00F24C8B">
            <w:pPr>
              <w:widowControl w:val="0"/>
              <w:autoSpaceDE w:val="0"/>
              <w:autoSpaceDN w:val="0"/>
              <w:adjustRightInd w:val="0"/>
              <w:rPr>
                <w:sz w:val="22"/>
                <w:szCs w:val="22"/>
              </w:rPr>
            </w:pPr>
            <w:r w:rsidRPr="00771209">
              <w:rPr>
                <w:sz w:val="22"/>
                <w:szCs w:val="22"/>
              </w:rPr>
              <w:t>Quarterly</w:t>
            </w:r>
          </w:p>
        </w:tc>
        <w:tc>
          <w:tcPr>
            <w:tcW w:w="1823" w:type="dxa"/>
            <w:shd w:val="clear" w:color="auto" w:fill="auto"/>
          </w:tcPr>
          <w:p w:rsidR="00204E6A" w:rsidRPr="00771209" w:rsidP="00F24C8B">
            <w:pPr>
              <w:autoSpaceDE w:val="0"/>
              <w:autoSpaceDN w:val="0"/>
              <w:adjustRightInd w:val="0"/>
              <w:rPr>
                <w:sz w:val="22"/>
                <w:szCs w:val="22"/>
              </w:rPr>
            </w:pPr>
            <w:r w:rsidRPr="00771209">
              <w:rPr>
                <w:sz w:val="22"/>
                <w:szCs w:val="22"/>
              </w:rPr>
              <w:t>0% - No deviation allowable</w:t>
            </w:r>
          </w:p>
        </w:tc>
        <w:tc>
          <w:tcPr>
            <w:tcW w:w="1980" w:type="dxa"/>
            <w:shd w:val="clear" w:color="auto" w:fill="auto"/>
          </w:tcPr>
          <w:p w:rsidR="00204E6A" w:rsidRPr="00771209" w:rsidP="00F24C8B">
            <w:pPr>
              <w:autoSpaceDE w:val="0"/>
              <w:autoSpaceDN w:val="0"/>
              <w:adjustRightInd w:val="0"/>
              <w:rPr>
                <w:sz w:val="22"/>
                <w:szCs w:val="22"/>
              </w:rPr>
            </w:pPr>
            <w:r w:rsidRPr="00771209">
              <w:rPr>
                <w:sz w:val="22"/>
                <w:szCs w:val="22"/>
              </w:rPr>
              <w:t xml:space="preserve">VA POC Monitoring </w:t>
            </w:r>
          </w:p>
        </w:tc>
        <w:tc>
          <w:tcPr>
            <w:tcW w:w="1147" w:type="dxa"/>
            <w:shd w:val="clear" w:color="auto" w:fill="auto"/>
          </w:tcPr>
          <w:p w:rsidR="00204E6A" w:rsidRPr="00771209" w:rsidP="00F24C8B">
            <w:pPr>
              <w:autoSpaceDE w:val="0"/>
              <w:autoSpaceDN w:val="0"/>
              <w:adjustRightInd w:val="0"/>
              <w:rPr>
                <w:sz w:val="22"/>
                <w:szCs w:val="22"/>
              </w:rPr>
            </w:pPr>
            <w:r w:rsidRPr="00771209">
              <w:rPr>
                <w:sz w:val="22"/>
                <w:szCs w:val="22"/>
              </w:rPr>
              <w:t>10% deduction of monthly rate per site</w:t>
            </w:r>
          </w:p>
        </w:tc>
      </w:tr>
      <w:tr w:rsidTr="00204E6A">
        <w:tblPrEx>
          <w:tblW w:w="10710" w:type="dxa"/>
          <w:tblInd w:w="-725" w:type="dxa"/>
          <w:tblLayout w:type="fixed"/>
          <w:tblLook w:val="01E0"/>
        </w:tblPrEx>
        <w:tc>
          <w:tcPr>
            <w:tcW w:w="1530" w:type="dxa"/>
          </w:tcPr>
          <w:p w:rsidR="00204E6A" w:rsidRPr="009029E3" w:rsidP="00F24C8B">
            <w:pPr>
              <w:widowControl w:val="0"/>
              <w:autoSpaceDE w:val="0"/>
              <w:autoSpaceDN w:val="0"/>
              <w:adjustRightInd w:val="0"/>
              <w:rPr>
                <w:sz w:val="22"/>
                <w:szCs w:val="22"/>
              </w:rPr>
            </w:pPr>
            <w:r w:rsidRPr="009029E3">
              <w:rPr>
                <w:sz w:val="22"/>
                <w:szCs w:val="22"/>
              </w:rPr>
              <w:t>5</w:t>
            </w:r>
          </w:p>
        </w:tc>
        <w:tc>
          <w:tcPr>
            <w:tcW w:w="990" w:type="dxa"/>
          </w:tcPr>
          <w:p w:rsidR="00204E6A" w:rsidRPr="009029E3" w:rsidP="00F24C8B">
            <w:pPr>
              <w:widowControl w:val="0"/>
              <w:autoSpaceDE w:val="0"/>
              <w:autoSpaceDN w:val="0"/>
              <w:adjustRightInd w:val="0"/>
              <w:rPr>
                <w:b/>
                <w:sz w:val="22"/>
                <w:szCs w:val="22"/>
              </w:rPr>
            </w:pPr>
            <w:r w:rsidRPr="009029E3">
              <w:rPr>
                <w:b/>
                <w:sz w:val="22"/>
                <w:szCs w:val="22"/>
              </w:rPr>
              <w:t>Pg. 14 2.2.1</w:t>
            </w:r>
            <w:r>
              <w:rPr>
                <w:b/>
                <w:sz w:val="22"/>
                <w:szCs w:val="22"/>
              </w:rPr>
              <w:t>6</w:t>
            </w:r>
            <w:r w:rsidRPr="009029E3">
              <w:rPr>
                <w:b/>
                <w:sz w:val="22"/>
                <w:szCs w:val="22"/>
              </w:rPr>
              <w:t>.3</w:t>
            </w:r>
          </w:p>
        </w:tc>
        <w:tc>
          <w:tcPr>
            <w:tcW w:w="1710"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Training</w:t>
            </w:r>
            <w:r>
              <w:rPr>
                <w:sz w:val="22"/>
                <w:szCs w:val="22"/>
              </w:rPr>
              <w:t xml:space="preserve"> - </w:t>
            </w:r>
            <w:r w:rsidRPr="009029E3">
              <w:rPr>
                <w:sz w:val="22"/>
                <w:szCs w:val="22"/>
              </w:rPr>
              <w:t xml:space="preserve">2 Operators per </w:t>
            </w:r>
            <w:r>
              <w:rPr>
                <w:sz w:val="22"/>
                <w:szCs w:val="22"/>
              </w:rPr>
              <w:t xml:space="preserve">system </w:t>
            </w:r>
            <w:r w:rsidRPr="009029E3">
              <w:rPr>
                <w:sz w:val="22"/>
                <w:szCs w:val="22"/>
              </w:rPr>
              <w:t>and 1 operator</w:t>
            </w:r>
            <w:r>
              <w:rPr>
                <w:sz w:val="22"/>
                <w:szCs w:val="22"/>
              </w:rPr>
              <w:t xml:space="preserve"> per system</w:t>
            </w:r>
            <w:r w:rsidRPr="009029E3">
              <w:rPr>
                <w:sz w:val="22"/>
                <w:szCs w:val="22"/>
              </w:rPr>
              <w:t xml:space="preserve"> yearly there after</w:t>
            </w:r>
          </w:p>
        </w:tc>
        <w:tc>
          <w:tcPr>
            <w:tcW w:w="1530" w:type="dxa"/>
            <w:shd w:val="clear" w:color="auto" w:fill="auto"/>
          </w:tcPr>
          <w:p w:rsidR="00204E6A" w:rsidRPr="009029E3" w:rsidP="00F24C8B">
            <w:pPr>
              <w:widowControl w:val="0"/>
              <w:autoSpaceDE w:val="0"/>
              <w:autoSpaceDN w:val="0"/>
              <w:adjustRightInd w:val="0"/>
              <w:rPr>
                <w:sz w:val="22"/>
                <w:szCs w:val="22"/>
              </w:rPr>
            </w:pPr>
            <w:r>
              <w:rPr>
                <w:sz w:val="22"/>
                <w:szCs w:val="22"/>
              </w:rPr>
              <w:t>Training Not provided</w:t>
            </w:r>
          </w:p>
        </w:tc>
        <w:tc>
          <w:tcPr>
            <w:tcW w:w="1823" w:type="dxa"/>
            <w:shd w:val="clear" w:color="auto" w:fill="auto"/>
          </w:tcPr>
          <w:p w:rsidR="00204E6A" w:rsidRPr="009029E3" w:rsidP="00F24C8B">
            <w:pPr>
              <w:autoSpaceDE w:val="0"/>
              <w:autoSpaceDN w:val="0"/>
              <w:adjustRightInd w:val="0"/>
              <w:rPr>
                <w:sz w:val="22"/>
                <w:szCs w:val="22"/>
              </w:rPr>
            </w:pPr>
            <w:r w:rsidRPr="009029E3">
              <w:rPr>
                <w:sz w:val="22"/>
                <w:szCs w:val="22"/>
              </w:rPr>
              <w:t>0% - No deviation allowable</w:t>
            </w:r>
          </w:p>
        </w:tc>
        <w:tc>
          <w:tcPr>
            <w:tcW w:w="1980"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 xml:space="preserve">VA POC Monitoring </w:t>
            </w:r>
          </w:p>
        </w:tc>
        <w:tc>
          <w:tcPr>
            <w:tcW w:w="1147" w:type="dxa"/>
            <w:shd w:val="clear" w:color="auto" w:fill="auto"/>
          </w:tcPr>
          <w:p w:rsidR="00204E6A" w:rsidRPr="009029E3" w:rsidP="00F24C8B">
            <w:pPr>
              <w:widowControl w:val="0"/>
              <w:autoSpaceDE w:val="0"/>
              <w:autoSpaceDN w:val="0"/>
              <w:adjustRightInd w:val="0"/>
              <w:rPr>
                <w:sz w:val="22"/>
                <w:szCs w:val="22"/>
              </w:rPr>
            </w:pPr>
            <w:r w:rsidRPr="009029E3">
              <w:rPr>
                <w:sz w:val="22"/>
                <w:szCs w:val="22"/>
              </w:rPr>
              <w:t>50% deduction of monthly rate per site</w:t>
            </w:r>
          </w:p>
        </w:tc>
      </w:tr>
      <w:tr w:rsidTr="00204E6A">
        <w:tblPrEx>
          <w:tblW w:w="10710" w:type="dxa"/>
          <w:tblInd w:w="-725" w:type="dxa"/>
          <w:tblLayout w:type="fixed"/>
          <w:tblLook w:val="01E0"/>
        </w:tblPrEx>
        <w:tc>
          <w:tcPr>
            <w:tcW w:w="1530" w:type="dxa"/>
          </w:tcPr>
          <w:p w:rsidR="00204E6A" w:rsidRPr="009029E3" w:rsidP="00F24C8B">
            <w:pPr>
              <w:autoSpaceDE w:val="0"/>
              <w:autoSpaceDN w:val="0"/>
              <w:adjustRightInd w:val="0"/>
              <w:rPr>
                <w:sz w:val="22"/>
                <w:szCs w:val="22"/>
              </w:rPr>
            </w:pPr>
            <w:r w:rsidRPr="009029E3">
              <w:rPr>
                <w:sz w:val="22"/>
                <w:szCs w:val="22"/>
              </w:rPr>
              <w:t>6</w:t>
            </w:r>
          </w:p>
        </w:tc>
        <w:tc>
          <w:tcPr>
            <w:tcW w:w="990" w:type="dxa"/>
          </w:tcPr>
          <w:p w:rsidR="00204E6A" w:rsidP="00F24C8B">
            <w:pPr>
              <w:autoSpaceDE w:val="0"/>
              <w:autoSpaceDN w:val="0"/>
              <w:adjustRightInd w:val="0"/>
              <w:rPr>
                <w:b/>
                <w:sz w:val="22"/>
                <w:szCs w:val="22"/>
              </w:rPr>
            </w:pPr>
            <w:r w:rsidRPr="009029E3">
              <w:rPr>
                <w:b/>
                <w:sz w:val="22"/>
                <w:szCs w:val="22"/>
              </w:rPr>
              <w:t>Pg. 1</w:t>
            </w:r>
            <w:r>
              <w:rPr>
                <w:b/>
                <w:sz w:val="22"/>
                <w:szCs w:val="22"/>
              </w:rPr>
              <w:t>5 2.2.6.4.1.1</w:t>
            </w:r>
          </w:p>
          <w:p w:rsidR="00204E6A" w:rsidRPr="009029E3" w:rsidP="00F24C8B">
            <w:pPr>
              <w:autoSpaceDE w:val="0"/>
              <w:autoSpaceDN w:val="0"/>
              <w:adjustRightInd w:val="0"/>
              <w:rPr>
                <w:b/>
                <w:sz w:val="22"/>
                <w:szCs w:val="22"/>
              </w:rPr>
            </w:pPr>
            <w:r>
              <w:rPr>
                <w:b/>
                <w:sz w:val="22"/>
                <w:szCs w:val="22"/>
              </w:rPr>
              <w:t>Pg. 11 2.2.10.35</w:t>
            </w:r>
          </w:p>
        </w:tc>
        <w:tc>
          <w:tcPr>
            <w:tcW w:w="1710" w:type="dxa"/>
            <w:shd w:val="clear" w:color="auto" w:fill="auto"/>
          </w:tcPr>
          <w:p w:rsidR="00204E6A" w:rsidRPr="009029E3" w:rsidP="00F24C8B">
            <w:pPr>
              <w:autoSpaceDE w:val="0"/>
              <w:autoSpaceDN w:val="0"/>
              <w:adjustRightInd w:val="0"/>
              <w:rPr>
                <w:sz w:val="22"/>
                <w:szCs w:val="22"/>
              </w:rPr>
            </w:pPr>
            <w:r w:rsidRPr="009029E3">
              <w:rPr>
                <w:sz w:val="22"/>
                <w:szCs w:val="22"/>
              </w:rPr>
              <w:t>Technical Assistance Center available by phone 24hrs per day, 7 days a week. Maximum call back response time of 1 hour.</w:t>
            </w:r>
          </w:p>
        </w:tc>
        <w:tc>
          <w:tcPr>
            <w:tcW w:w="1530" w:type="dxa"/>
            <w:shd w:val="clear" w:color="auto" w:fill="auto"/>
          </w:tcPr>
          <w:p w:rsidR="00204E6A" w:rsidRPr="009029E3" w:rsidP="00F24C8B">
            <w:pPr>
              <w:autoSpaceDE w:val="0"/>
              <w:autoSpaceDN w:val="0"/>
              <w:adjustRightInd w:val="0"/>
              <w:rPr>
                <w:sz w:val="22"/>
                <w:szCs w:val="22"/>
              </w:rPr>
            </w:pPr>
            <w:r w:rsidRPr="009029E3">
              <w:rPr>
                <w:sz w:val="22"/>
                <w:szCs w:val="22"/>
              </w:rPr>
              <w:t>Technical Assistance not available or not responding within 1 hour of call</w:t>
            </w:r>
          </w:p>
        </w:tc>
        <w:tc>
          <w:tcPr>
            <w:tcW w:w="1823" w:type="dxa"/>
            <w:shd w:val="clear" w:color="auto" w:fill="auto"/>
          </w:tcPr>
          <w:p w:rsidR="00204E6A" w:rsidRPr="009029E3" w:rsidP="00F24C8B">
            <w:pPr>
              <w:autoSpaceDE w:val="0"/>
              <w:autoSpaceDN w:val="0"/>
              <w:adjustRightInd w:val="0"/>
              <w:rPr>
                <w:sz w:val="22"/>
                <w:szCs w:val="22"/>
              </w:rPr>
            </w:pPr>
            <w:r>
              <w:rPr>
                <w:sz w:val="22"/>
                <w:szCs w:val="22"/>
              </w:rPr>
              <w:t>2</w:t>
            </w:r>
            <w:r w:rsidRPr="009029E3">
              <w:rPr>
                <w:sz w:val="22"/>
                <w:szCs w:val="22"/>
              </w:rPr>
              <w:t>% - deviation allowable</w:t>
            </w:r>
          </w:p>
        </w:tc>
        <w:tc>
          <w:tcPr>
            <w:tcW w:w="1980" w:type="dxa"/>
            <w:shd w:val="clear" w:color="auto" w:fill="auto"/>
          </w:tcPr>
          <w:p w:rsidR="00204E6A" w:rsidRPr="009029E3" w:rsidP="00F24C8B">
            <w:pPr>
              <w:autoSpaceDE w:val="0"/>
              <w:autoSpaceDN w:val="0"/>
              <w:adjustRightInd w:val="0"/>
              <w:rPr>
                <w:sz w:val="22"/>
                <w:szCs w:val="22"/>
              </w:rPr>
            </w:pPr>
            <w:r w:rsidRPr="009029E3">
              <w:rPr>
                <w:sz w:val="22"/>
                <w:szCs w:val="22"/>
              </w:rPr>
              <w:t>VA POC</w:t>
            </w:r>
          </w:p>
          <w:p w:rsidR="00204E6A" w:rsidRPr="009029E3" w:rsidP="00F24C8B">
            <w:pPr>
              <w:widowControl w:val="0"/>
              <w:autoSpaceDE w:val="0"/>
              <w:autoSpaceDN w:val="0"/>
              <w:adjustRightInd w:val="0"/>
              <w:rPr>
                <w:sz w:val="22"/>
                <w:szCs w:val="22"/>
              </w:rPr>
            </w:pPr>
          </w:p>
        </w:tc>
        <w:tc>
          <w:tcPr>
            <w:tcW w:w="1147" w:type="dxa"/>
            <w:shd w:val="clear" w:color="auto" w:fill="auto"/>
          </w:tcPr>
          <w:p w:rsidR="00204E6A" w:rsidRPr="009029E3" w:rsidP="00F24C8B">
            <w:pPr>
              <w:widowControl w:val="0"/>
              <w:autoSpaceDE w:val="0"/>
              <w:autoSpaceDN w:val="0"/>
              <w:adjustRightInd w:val="0"/>
              <w:rPr>
                <w:sz w:val="22"/>
                <w:szCs w:val="22"/>
              </w:rPr>
            </w:pPr>
            <w:r>
              <w:rPr>
                <w:sz w:val="22"/>
                <w:szCs w:val="22"/>
              </w:rPr>
              <w:t>5</w:t>
            </w:r>
            <w:r w:rsidRPr="009029E3">
              <w:rPr>
                <w:sz w:val="22"/>
                <w:szCs w:val="22"/>
              </w:rPr>
              <w:t>% deduction of monthly rate per site.</w:t>
            </w:r>
          </w:p>
        </w:tc>
      </w:tr>
      <w:tr w:rsidTr="00204E6A">
        <w:tblPrEx>
          <w:tblW w:w="10710" w:type="dxa"/>
          <w:tblInd w:w="-725" w:type="dxa"/>
          <w:tblLayout w:type="fixed"/>
          <w:tblLook w:val="01E0"/>
        </w:tblPrEx>
        <w:tc>
          <w:tcPr>
            <w:tcW w:w="1530" w:type="dxa"/>
          </w:tcPr>
          <w:p w:rsidR="00204E6A" w:rsidRPr="009029E3" w:rsidP="00F24C8B">
            <w:pPr>
              <w:autoSpaceDE w:val="0"/>
              <w:autoSpaceDN w:val="0"/>
              <w:adjustRightInd w:val="0"/>
              <w:rPr>
                <w:sz w:val="22"/>
                <w:szCs w:val="22"/>
              </w:rPr>
            </w:pPr>
            <w:r w:rsidRPr="009029E3">
              <w:rPr>
                <w:sz w:val="22"/>
                <w:szCs w:val="22"/>
              </w:rPr>
              <w:t>7</w:t>
            </w:r>
          </w:p>
        </w:tc>
        <w:tc>
          <w:tcPr>
            <w:tcW w:w="990" w:type="dxa"/>
          </w:tcPr>
          <w:p w:rsidR="00204E6A" w:rsidRPr="009029E3" w:rsidP="00F24C8B">
            <w:pPr>
              <w:autoSpaceDE w:val="0"/>
              <w:autoSpaceDN w:val="0"/>
              <w:adjustRightInd w:val="0"/>
              <w:rPr>
                <w:b/>
                <w:sz w:val="22"/>
                <w:szCs w:val="22"/>
              </w:rPr>
            </w:pPr>
            <w:r w:rsidRPr="009029E3">
              <w:rPr>
                <w:b/>
                <w:sz w:val="22"/>
                <w:szCs w:val="22"/>
              </w:rPr>
              <w:t>Pg. 16 2.2.1</w:t>
            </w:r>
            <w:r>
              <w:rPr>
                <w:b/>
                <w:sz w:val="22"/>
                <w:szCs w:val="22"/>
              </w:rPr>
              <w:t>6</w:t>
            </w:r>
            <w:r w:rsidRPr="009029E3">
              <w:rPr>
                <w:b/>
                <w:sz w:val="22"/>
                <w:szCs w:val="22"/>
              </w:rPr>
              <w:t>.4.1.3</w:t>
            </w:r>
          </w:p>
        </w:tc>
        <w:tc>
          <w:tcPr>
            <w:tcW w:w="1710" w:type="dxa"/>
            <w:shd w:val="clear" w:color="auto" w:fill="auto"/>
          </w:tcPr>
          <w:p w:rsidR="00204E6A" w:rsidRPr="009029E3" w:rsidP="00F24C8B">
            <w:pPr>
              <w:autoSpaceDE w:val="0"/>
              <w:autoSpaceDN w:val="0"/>
              <w:adjustRightInd w:val="0"/>
              <w:rPr>
                <w:sz w:val="22"/>
                <w:szCs w:val="22"/>
              </w:rPr>
            </w:pPr>
            <w:r w:rsidRPr="009029E3">
              <w:rPr>
                <w:sz w:val="22"/>
                <w:szCs w:val="22"/>
              </w:rPr>
              <w:t>Repair response time no more than 24 hours</w:t>
            </w:r>
          </w:p>
        </w:tc>
        <w:tc>
          <w:tcPr>
            <w:tcW w:w="1530" w:type="dxa"/>
            <w:shd w:val="clear" w:color="auto" w:fill="auto"/>
          </w:tcPr>
          <w:p w:rsidR="00204E6A" w:rsidRPr="009029E3" w:rsidP="00F24C8B">
            <w:pPr>
              <w:autoSpaceDE w:val="0"/>
              <w:autoSpaceDN w:val="0"/>
              <w:adjustRightInd w:val="0"/>
              <w:rPr>
                <w:sz w:val="22"/>
                <w:szCs w:val="22"/>
              </w:rPr>
            </w:pPr>
            <w:r w:rsidRPr="009029E3">
              <w:rPr>
                <w:sz w:val="22"/>
                <w:szCs w:val="22"/>
              </w:rPr>
              <w:t>Repair response time greater than 24 hours.</w:t>
            </w:r>
          </w:p>
        </w:tc>
        <w:tc>
          <w:tcPr>
            <w:tcW w:w="1823" w:type="dxa"/>
            <w:shd w:val="clear" w:color="auto" w:fill="auto"/>
          </w:tcPr>
          <w:p w:rsidR="00204E6A" w:rsidRPr="009029E3" w:rsidP="00F24C8B">
            <w:pPr>
              <w:autoSpaceDE w:val="0"/>
              <w:autoSpaceDN w:val="0"/>
              <w:adjustRightInd w:val="0"/>
              <w:rPr>
                <w:sz w:val="22"/>
                <w:szCs w:val="22"/>
              </w:rPr>
            </w:pPr>
            <w:r>
              <w:rPr>
                <w:sz w:val="22"/>
                <w:szCs w:val="22"/>
              </w:rPr>
              <w:t xml:space="preserve">2% - </w:t>
            </w:r>
            <w:r w:rsidRPr="009029E3">
              <w:rPr>
                <w:sz w:val="22"/>
                <w:szCs w:val="22"/>
              </w:rPr>
              <w:t>deviation allowable</w:t>
            </w:r>
          </w:p>
        </w:tc>
        <w:tc>
          <w:tcPr>
            <w:tcW w:w="1980" w:type="dxa"/>
            <w:shd w:val="clear" w:color="auto" w:fill="auto"/>
          </w:tcPr>
          <w:p w:rsidR="00204E6A" w:rsidRPr="009029E3" w:rsidP="00F24C8B">
            <w:pPr>
              <w:autoSpaceDE w:val="0"/>
              <w:autoSpaceDN w:val="0"/>
              <w:adjustRightInd w:val="0"/>
              <w:rPr>
                <w:sz w:val="22"/>
                <w:szCs w:val="22"/>
              </w:rPr>
            </w:pPr>
            <w:r w:rsidRPr="009029E3">
              <w:rPr>
                <w:sz w:val="22"/>
                <w:szCs w:val="22"/>
              </w:rPr>
              <w:t>VA POC</w:t>
            </w:r>
          </w:p>
          <w:p w:rsidR="00204E6A" w:rsidRPr="009029E3" w:rsidP="00F24C8B">
            <w:pPr>
              <w:autoSpaceDE w:val="0"/>
              <w:autoSpaceDN w:val="0"/>
              <w:adjustRightInd w:val="0"/>
              <w:rPr>
                <w:sz w:val="22"/>
                <w:szCs w:val="22"/>
              </w:rPr>
            </w:pPr>
          </w:p>
        </w:tc>
        <w:tc>
          <w:tcPr>
            <w:tcW w:w="1147" w:type="dxa"/>
            <w:shd w:val="clear" w:color="auto" w:fill="auto"/>
          </w:tcPr>
          <w:p w:rsidR="00204E6A" w:rsidRPr="009029E3" w:rsidP="00F24C8B">
            <w:pPr>
              <w:autoSpaceDE w:val="0"/>
              <w:autoSpaceDN w:val="0"/>
              <w:adjustRightInd w:val="0"/>
              <w:rPr>
                <w:sz w:val="22"/>
                <w:szCs w:val="22"/>
              </w:rPr>
            </w:pPr>
            <w:r>
              <w:rPr>
                <w:sz w:val="22"/>
                <w:szCs w:val="22"/>
              </w:rPr>
              <w:t>5</w:t>
            </w:r>
            <w:r w:rsidRPr="009029E3">
              <w:rPr>
                <w:sz w:val="22"/>
                <w:szCs w:val="22"/>
              </w:rPr>
              <w:t>% deduction of monthly rate per site.</w:t>
            </w:r>
          </w:p>
        </w:tc>
      </w:tr>
      <w:tr w:rsidTr="00204E6A">
        <w:tblPrEx>
          <w:tblW w:w="10710" w:type="dxa"/>
          <w:tblInd w:w="-725" w:type="dxa"/>
          <w:tblLayout w:type="fixed"/>
          <w:tblLook w:val="01E0"/>
        </w:tblPrEx>
        <w:tc>
          <w:tcPr>
            <w:tcW w:w="1530" w:type="dxa"/>
          </w:tcPr>
          <w:p w:rsidR="00204E6A" w:rsidRPr="0088557B" w:rsidP="00F24C8B">
            <w:pPr>
              <w:autoSpaceDE w:val="0"/>
              <w:autoSpaceDN w:val="0"/>
              <w:adjustRightInd w:val="0"/>
              <w:rPr>
                <w:sz w:val="22"/>
                <w:szCs w:val="22"/>
              </w:rPr>
            </w:pPr>
            <w:r w:rsidRPr="0088557B">
              <w:rPr>
                <w:sz w:val="22"/>
                <w:szCs w:val="22"/>
              </w:rPr>
              <w:t>8</w:t>
            </w:r>
          </w:p>
        </w:tc>
        <w:tc>
          <w:tcPr>
            <w:tcW w:w="990" w:type="dxa"/>
          </w:tcPr>
          <w:p w:rsidR="00204E6A" w:rsidP="00F24C8B">
            <w:pPr>
              <w:autoSpaceDE w:val="0"/>
              <w:autoSpaceDN w:val="0"/>
              <w:adjustRightInd w:val="0"/>
              <w:rPr>
                <w:b/>
                <w:sz w:val="22"/>
                <w:szCs w:val="22"/>
              </w:rPr>
            </w:pPr>
            <w:r w:rsidRPr="0088557B">
              <w:rPr>
                <w:b/>
                <w:sz w:val="22"/>
                <w:szCs w:val="22"/>
              </w:rPr>
              <w:t>Pg. 1</w:t>
            </w:r>
            <w:r>
              <w:rPr>
                <w:b/>
                <w:sz w:val="22"/>
                <w:szCs w:val="22"/>
              </w:rPr>
              <w:t xml:space="preserve">7 </w:t>
            </w:r>
            <w:r w:rsidRPr="0088557B">
              <w:rPr>
                <w:b/>
                <w:sz w:val="22"/>
                <w:szCs w:val="22"/>
              </w:rPr>
              <w:t>2.2.1</w:t>
            </w:r>
            <w:r>
              <w:rPr>
                <w:b/>
                <w:sz w:val="22"/>
                <w:szCs w:val="22"/>
              </w:rPr>
              <w:t>6</w:t>
            </w:r>
            <w:r w:rsidRPr="0088557B">
              <w:rPr>
                <w:b/>
                <w:sz w:val="22"/>
                <w:szCs w:val="22"/>
              </w:rPr>
              <w:t>.4.3</w:t>
            </w:r>
          </w:p>
          <w:p w:rsidR="00204E6A" w:rsidRPr="0088557B" w:rsidP="00F24C8B">
            <w:pPr>
              <w:autoSpaceDE w:val="0"/>
              <w:autoSpaceDN w:val="0"/>
              <w:adjustRightInd w:val="0"/>
              <w:rPr>
                <w:b/>
                <w:sz w:val="22"/>
                <w:szCs w:val="22"/>
              </w:rPr>
            </w:pPr>
            <w:r>
              <w:rPr>
                <w:b/>
                <w:sz w:val="22"/>
                <w:szCs w:val="22"/>
              </w:rPr>
              <w:t>Pg. 21 2.2.17.6</w:t>
            </w:r>
          </w:p>
        </w:tc>
        <w:tc>
          <w:tcPr>
            <w:tcW w:w="1710" w:type="dxa"/>
            <w:shd w:val="clear" w:color="auto" w:fill="auto"/>
          </w:tcPr>
          <w:p w:rsidR="00204E6A" w:rsidRPr="0088557B" w:rsidP="00F24C8B">
            <w:pPr>
              <w:autoSpaceDE w:val="0"/>
              <w:autoSpaceDN w:val="0"/>
              <w:adjustRightInd w:val="0"/>
              <w:rPr>
                <w:sz w:val="22"/>
                <w:szCs w:val="22"/>
              </w:rPr>
            </w:pPr>
            <w:r w:rsidRPr="0088557B">
              <w:rPr>
                <w:sz w:val="22"/>
                <w:szCs w:val="22"/>
              </w:rPr>
              <w:t>Equipment operation 98% of the time per unit.</w:t>
            </w:r>
          </w:p>
        </w:tc>
        <w:tc>
          <w:tcPr>
            <w:tcW w:w="1530" w:type="dxa"/>
            <w:shd w:val="clear" w:color="auto" w:fill="auto"/>
          </w:tcPr>
          <w:p w:rsidR="00204E6A" w:rsidRPr="0088557B" w:rsidP="00F24C8B">
            <w:pPr>
              <w:autoSpaceDE w:val="0"/>
              <w:autoSpaceDN w:val="0"/>
              <w:adjustRightInd w:val="0"/>
              <w:rPr>
                <w:sz w:val="22"/>
                <w:szCs w:val="22"/>
              </w:rPr>
            </w:pPr>
            <w:r w:rsidRPr="0088557B">
              <w:rPr>
                <w:sz w:val="22"/>
                <w:szCs w:val="22"/>
              </w:rPr>
              <w:t>Equipment not operational for less than 98% of the time per unit.</w:t>
            </w:r>
          </w:p>
        </w:tc>
        <w:tc>
          <w:tcPr>
            <w:tcW w:w="1823" w:type="dxa"/>
            <w:shd w:val="clear" w:color="auto" w:fill="auto"/>
          </w:tcPr>
          <w:p w:rsidR="00204E6A" w:rsidRPr="0088557B" w:rsidP="00F24C8B">
            <w:pPr>
              <w:autoSpaceDE w:val="0"/>
              <w:autoSpaceDN w:val="0"/>
              <w:adjustRightInd w:val="0"/>
              <w:rPr>
                <w:sz w:val="22"/>
                <w:szCs w:val="22"/>
              </w:rPr>
            </w:pPr>
            <w:r w:rsidRPr="0088557B">
              <w:rPr>
                <w:sz w:val="22"/>
                <w:szCs w:val="22"/>
              </w:rPr>
              <w:t>0% - No deviation allowable</w:t>
            </w:r>
          </w:p>
        </w:tc>
        <w:tc>
          <w:tcPr>
            <w:tcW w:w="1980" w:type="dxa"/>
            <w:shd w:val="clear" w:color="auto" w:fill="auto"/>
          </w:tcPr>
          <w:p w:rsidR="00204E6A" w:rsidRPr="0088557B" w:rsidP="00F24C8B">
            <w:pPr>
              <w:autoSpaceDE w:val="0"/>
              <w:autoSpaceDN w:val="0"/>
              <w:adjustRightInd w:val="0"/>
              <w:rPr>
                <w:sz w:val="22"/>
                <w:szCs w:val="22"/>
              </w:rPr>
            </w:pPr>
            <w:r w:rsidRPr="0088557B">
              <w:rPr>
                <w:sz w:val="22"/>
                <w:szCs w:val="22"/>
              </w:rPr>
              <w:t>VA POC</w:t>
            </w:r>
          </w:p>
        </w:tc>
        <w:tc>
          <w:tcPr>
            <w:tcW w:w="1147" w:type="dxa"/>
            <w:shd w:val="clear" w:color="auto" w:fill="auto"/>
          </w:tcPr>
          <w:p w:rsidR="00204E6A" w:rsidRPr="0088557B" w:rsidP="00F24C8B">
            <w:pPr>
              <w:autoSpaceDE w:val="0"/>
              <w:autoSpaceDN w:val="0"/>
              <w:adjustRightInd w:val="0"/>
              <w:rPr>
                <w:sz w:val="22"/>
                <w:szCs w:val="22"/>
              </w:rPr>
            </w:pPr>
            <w:r w:rsidRPr="0088557B">
              <w:rPr>
                <w:sz w:val="22"/>
                <w:szCs w:val="22"/>
              </w:rPr>
              <w:t>5% deduction of monthly rate per site.</w:t>
            </w:r>
          </w:p>
        </w:tc>
      </w:tr>
    </w:tbl>
    <w:p w:rsidR="00743742"/>
    <w:sectPr>
      <w:type w:val="continuous"/>
      <w:pgMar w:top="1080" w:right="1440" w:bottom="1080" w:left="1440" w:header="360" w:footer="3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DB47AB"/>
    <w:multiLevelType w:val="multilevel"/>
    <w:tmpl w:val="E86C03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14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513CED"/>
    <w:multiLevelType w:val="hybridMultilevel"/>
    <w:tmpl w:val="8E5611D6"/>
    <w:lvl w:ilvl="0">
      <w:start w:val="1"/>
      <w:numFmt w:val="decimal"/>
      <w:pStyle w:val="AppendixBheading"/>
      <w:lvlText w:val="B%1."/>
      <w:lvlJc w:val="left"/>
      <w:pPr>
        <w:ind w:left="360" w:hanging="360"/>
      </w:pPr>
      <w:rPr>
        <w:rFonts w:ascii="Arial" w:hAnsi="Arial" w:cs="Arial" w:hint="default"/>
        <w:b/>
        <w:i w:val="0"/>
        <w:caps w:val="0"/>
        <w:strike w:val="0"/>
        <w:dstrike w:val="0"/>
        <w:vanish w:val="0"/>
        <w:webHidden w:val="0"/>
        <w:color w:val="auto"/>
        <w:sz w:val="24"/>
        <w:u w:val="none"/>
        <w:effect w:val="none"/>
        <w:vertAlign w:val="baseline"/>
        <w:specVanish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62F35D8"/>
    <w:multiLevelType w:val="hybridMultilevel"/>
    <w:tmpl w:val="B442F9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defaultTabStop w:val="720"/>
  <w:characterSpacingControl w:val="doNotCompress"/>
  <w:compat>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17E43"/>
    <w:pPr>
      <w:spacing w:before="0" w:after="200"/>
      <w:ind w:left="0"/>
      <w:jc w:val="left"/>
    </w:pPr>
    <w:rPr>
      <w:rFonts w:asciiTheme="minorAscii" w:eastAsiaTheme="minorEastAsia" w:hAnsiTheme="minorHAnsi" w:cstheme="minorBidi"/>
      <w:sz w:val="22"/>
      <w:szCs w:val="22"/>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Asci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Asci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Asci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Asci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outlineLvl w:val="9"/>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before="0" w:after="0"/>
      <w:ind w:left="0"/>
      <w:jc w:val="left"/>
    </w:pPr>
    <w:rPr>
      <w:rFonts w:ascii="Courier New" w:hAnsi="Courier New" w:eastAsiaTheme="minorEastAsia" w:cstheme="majorBidi"/>
      <w:sz w:val="22"/>
      <w:szCs w:val="22"/>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character" w:styleId="Hyperlink">
    <w:name w:val="Hyperlink"/>
    <w:basedOn w:val="DefaultParagraphFont"/>
    <w:uiPriority w:val="99"/>
    <w:unhideWhenUsed/>
    <w:rsid w:val="00A53E7A"/>
    <w:rPr>
      <w:color w:val="0000FF" w:themeColor="hyperlink"/>
      <w:u w:val="single"/>
    </w:rPr>
  </w:style>
  <w:style w:type="paragraph" w:styleId="ListParagraph">
    <w:name w:val="List Paragraph"/>
    <w:basedOn w:val="Normal"/>
    <w:uiPriority w:val="34"/>
    <w:qFormat/>
    <w:rsid w:val="00A53E7A"/>
    <w:pPr>
      <w:ind w:left="720"/>
      <w:contextualSpacing/>
    </w:p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character" w:styleId="PageNumber">
    <w:name w:val="page number"/>
    <w:basedOn w:val="DefaultParagraphFont"/>
    <w:rsid w:val="00204E6A"/>
  </w:style>
  <w:style w:type="paragraph" w:styleId="BodyTextIndent">
    <w:name w:val="Body Text Indent"/>
    <w:basedOn w:val="Normal"/>
    <w:link w:val="BodyTextIndentChar"/>
    <w:rsid w:val="00204E6A"/>
    <w:pPr>
      <w:ind w:left="720"/>
    </w:pPr>
    <w:rPr>
      <w:rFonts w:ascii="Arial" w:hAnsi="Arial" w:cs="Arial"/>
      <w:sz w:val="20"/>
    </w:rPr>
  </w:style>
  <w:style w:type="character" w:customStyle="1" w:styleId="BodyTextIndentChar">
    <w:name w:val="Body Text Indent Char"/>
    <w:basedOn w:val="DefaultParagraphFont"/>
    <w:link w:val="BodyTextIndent"/>
    <w:rsid w:val="00204E6A"/>
    <w:rPr>
      <w:rFonts w:ascii="Arial" w:eastAsia="Times New Roman" w:hAnsi="Arial" w:cs="Arial"/>
      <w:kern w:val="0"/>
      <w:sz w:val="20"/>
      <w:szCs w:val="24"/>
      <w:lang w:val="en-US"/>
      <w14:ligatures w14:val="none"/>
    </w:rPr>
  </w:style>
  <w:style w:type="paragraph" w:styleId="BodyText">
    <w:name w:val="Body Text"/>
    <w:basedOn w:val="Normal"/>
    <w:link w:val="BodyTextChar"/>
    <w:rsid w:val="00204E6A"/>
    <w:rPr>
      <w:rFonts w:ascii="Arial" w:hAnsi="Arial" w:cs="Arial"/>
      <w:sz w:val="20"/>
    </w:rPr>
  </w:style>
  <w:style w:type="character" w:customStyle="1" w:styleId="BodyTextChar">
    <w:name w:val="Body Text Char"/>
    <w:basedOn w:val="DefaultParagraphFont"/>
    <w:link w:val="BodyText"/>
    <w:rsid w:val="00204E6A"/>
    <w:rPr>
      <w:rFonts w:ascii="Arial" w:eastAsia="Times New Roman" w:hAnsi="Arial" w:cs="Arial"/>
      <w:kern w:val="0"/>
      <w:sz w:val="20"/>
      <w:szCs w:val="24"/>
      <w:lang w:val="en-US"/>
      <w14:ligatures w14:val="none"/>
    </w:rPr>
  </w:style>
  <w:style w:type="paragraph" w:styleId="BodyTextIndent2">
    <w:name w:val="Body Text Indent 2"/>
    <w:basedOn w:val="Normal"/>
    <w:link w:val="BodyTextIndent2Char"/>
    <w:rsid w:val="00204E6A"/>
    <w:pPr>
      <w:ind w:left="360"/>
    </w:pPr>
    <w:rPr>
      <w:rFonts w:ascii="Arial" w:hAnsi="Arial" w:cs="Arial"/>
      <w:sz w:val="20"/>
    </w:rPr>
  </w:style>
  <w:style w:type="character" w:customStyle="1" w:styleId="BodyTextIndent2Char">
    <w:name w:val="Body Text Indent 2 Char"/>
    <w:basedOn w:val="DefaultParagraphFont"/>
    <w:link w:val="BodyTextIndent2"/>
    <w:rsid w:val="00204E6A"/>
    <w:rPr>
      <w:rFonts w:ascii="Arial" w:eastAsia="Times New Roman" w:hAnsi="Arial" w:cs="Arial"/>
      <w:kern w:val="0"/>
      <w:sz w:val="20"/>
      <w:szCs w:val="24"/>
      <w:lang w:val="en-US"/>
      <w14:ligatures w14:val="none"/>
    </w:rPr>
  </w:style>
  <w:style w:type="paragraph" w:styleId="NormalWeb">
    <w:name w:val="Normal (Web)"/>
    <w:basedOn w:val="Normal"/>
    <w:rsid w:val="00204E6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04E6A"/>
    <w:pPr>
      <w:jc w:val="both"/>
    </w:pPr>
    <w:rPr>
      <w:rFonts w:ascii="Arial" w:hAnsi="Arial" w:cs="Arial"/>
      <w:sz w:val="20"/>
    </w:rPr>
  </w:style>
  <w:style w:type="character" w:customStyle="1" w:styleId="BodyText2Char">
    <w:name w:val="Body Text 2 Char"/>
    <w:basedOn w:val="DefaultParagraphFont"/>
    <w:link w:val="BodyText2"/>
    <w:rsid w:val="00204E6A"/>
    <w:rPr>
      <w:rFonts w:ascii="Arial" w:eastAsia="Times New Roman" w:hAnsi="Arial" w:cs="Arial"/>
      <w:kern w:val="0"/>
      <w:sz w:val="20"/>
      <w:szCs w:val="24"/>
      <w:lang w:val="en-US"/>
      <w14:ligatures w14:val="none"/>
    </w:rPr>
  </w:style>
  <w:style w:type="table" w:styleId="TableGrid">
    <w:name w:val="Table Grid"/>
    <w:basedOn w:val="TableNormal"/>
    <w:rsid w:val="00204E6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04E6A"/>
    <w:pPr>
      <w:spacing w:after="120"/>
      <w:ind w:left="360"/>
    </w:pPr>
    <w:rPr>
      <w:sz w:val="16"/>
      <w:szCs w:val="16"/>
    </w:rPr>
  </w:style>
  <w:style w:type="character" w:customStyle="1" w:styleId="BodyTextIndent3Char">
    <w:name w:val="Body Text Indent 3 Char"/>
    <w:basedOn w:val="DefaultParagraphFont"/>
    <w:link w:val="BodyTextIndent3"/>
    <w:rsid w:val="00204E6A"/>
    <w:rPr>
      <w:rFonts w:ascii="Times New Roman" w:eastAsia="Times New Roman" w:hAnsi="Times New Roman" w:cs="Times New Roman"/>
      <w:kern w:val="0"/>
      <w:sz w:val="16"/>
      <w:szCs w:val="16"/>
      <w:lang w:val="en-US"/>
      <w14:ligatures w14:val="none"/>
    </w:rPr>
  </w:style>
  <w:style w:type="paragraph" w:customStyle="1" w:styleId="Default">
    <w:name w:val="Default"/>
    <w:rsid w:val="00204E6A"/>
    <w:pPr>
      <w:widowControl w:val="0"/>
      <w:autoSpaceDE w:val="0"/>
      <w:autoSpaceDN w:val="0"/>
      <w:adjustRightInd w:val="0"/>
      <w:spacing w:after="0" w:line="240" w:lineRule="auto"/>
    </w:pPr>
    <w:rPr>
      <w:rFonts w:ascii="Arial" w:hAnsi="Arial" w:eastAsiaTheme="minorEastAsia" w:cs="Arial"/>
      <w:color w:val="000000"/>
      <w:kern w:val="0"/>
      <w:sz w:val="24"/>
      <w:szCs w:val="24"/>
      <w:lang w:val="en-US"/>
      <w14:ligatures w14:val="none"/>
    </w:rPr>
  </w:style>
  <w:style w:type="paragraph" w:customStyle="1" w:styleId="CM33">
    <w:name w:val="CM33"/>
    <w:basedOn w:val="Default"/>
    <w:next w:val="Default"/>
    <w:uiPriority w:val="99"/>
    <w:rsid w:val="00204E6A"/>
    <w:pPr>
      <w:spacing w:after="275"/>
    </w:pPr>
    <w:rPr>
      <w:color w:val="auto"/>
    </w:rPr>
  </w:style>
  <w:style w:type="paragraph" w:customStyle="1" w:styleId="AppendixBheading">
    <w:name w:val="Appendix B heading"/>
    <w:basedOn w:val="Normal"/>
    <w:rsid w:val="00204E6A"/>
    <w:pPr>
      <w:numPr>
        <w:numId w:val="2"/>
      </w:numPr>
      <w:autoSpaceDE w:val="0"/>
      <w:autoSpaceDN w:val="0"/>
      <w:ind w:left="0" w:firstLine="0"/>
    </w:pPr>
    <w:rPr>
      <w:rFonts w:ascii="Arial" w:eastAsia="Calibri" w:hAnsi="Arial" w:cs="Arial"/>
      <w:b/>
      <w:bCs/>
      <w:color w:val="000000"/>
    </w:rPr>
  </w:style>
  <w:style w:type="character" w:styleId="CommentReference">
    <w:name w:val="annotation reference"/>
    <w:basedOn w:val="DefaultParagraphFont"/>
    <w:rsid w:val="00204E6A"/>
    <w:rPr>
      <w:sz w:val="16"/>
      <w:szCs w:val="16"/>
    </w:rPr>
  </w:style>
  <w:style w:type="paragraph" w:styleId="CommentSubject">
    <w:name w:val="annotation subject"/>
    <w:basedOn w:val="CommentText"/>
    <w:next w:val="CommentText"/>
    <w:link w:val="CommentSubjectChar"/>
    <w:rsid w:val="00204E6A"/>
    <w:rPr>
      <w:b/>
      <w:bCs/>
    </w:rPr>
  </w:style>
  <w:style w:type="character" w:customStyle="1" w:styleId="CommentSubjectChar">
    <w:name w:val="Comment Subject Char"/>
    <w:basedOn w:val="CommentTextChar"/>
    <w:link w:val="CommentSubject"/>
    <w:rsid w:val="00204E6A"/>
    <w:rPr>
      <w:rFonts w:ascii="Times New Roman" w:eastAsia="Times New Roman" w:hAnsi="Times New Roman" w:cs="Times New Roman"/>
      <w:b/>
      <w:bCs/>
      <w:kern w:val="0"/>
      <w:sz w:val="20"/>
      <w:szCs w:val="20"/>
      <w:lang w:val="en-US"/>
      <w14:ligatures w14:val="none"/>
    </w:rPr>
  </w:style>
  <w:style w:type="paragraph" w:customStyle="1" w:styleId="MyriadPro10pt115spcng">
    <w:name w:val="Myriad Pro 10 pt 1.15spcng"/>
    <w:basedOn w:val="ListParagraph"/>
    <w:link w:val="MyriadPro10pt115spcngChar"/>
    <w:qFormat/>
    <w:rsid w:val="00204E6A"/>
    <w:pPr>
      <w:spacing w:before="80" w:after="80" w:line="276" w:lineRule="auto"/>
      <w:ind w:left="0"/>
      <w:contextualSpacing w:val="0"/>
    </w:pPr>
    <w:rPr>
      <w:rFonts w:ascii="Myriad Pro" w:hAnsi="Myriad Pro"/>
      <w:szCs w:val="24"/>
    </w:rPr>
  </w:style>
  <w:style w:type="character" w:customStyle="1" w:styleId="ListParagraphChar">
    <w:name w:val="List Paragraph Char"/>
    <w:basedOn w:val="DefaultParagraphFont"/>
    <w:link w:val="ListParagraph"/>
    <w:uiPriority w:val="34"/>
    <w:rsid w:val="00204E6A"/>
    <w:rPr>
      <w:rFonts w:ascii="Times New Roman" w:eastAsia="Times New Roman" w:hAnsi="Times New Roman" w:cs="Times New Roman"/>
      <w:kern w:val="0"/>
      <w:sz w:val="20"/>
      <w:szCs w:val="20"/>
      <w:lang w:val="en-US"/>
      <w14:ligatures w14:val="none"/>
    </w:rPr>
  </w:style>
  <w:style w:type="character" w:customStyle="1" w:styleId="MyriadPro10pt115spcngChar">
    <w:name w:val="Myriad Pro 10 pt 1.15spcng Char"/>
    <w:basedOn w:val="ListParagraphChar"/>
    <w:link w:val="MyriadPro10pt115spcng"/>
    <w:rsid w:val="00204E6A"/>
    <w:rPr>
      <w:rFonts w:ascii="Myriad Pro" w:eastAsia="Times New Roman" w:hAnsi="Myriad Pro" w:cs="Times New Roman"/>
      <w:kern w:val="0"/>
      <w:sz w:val="20"/>
      <w:szCs w:val="24"/>
      <w:lang w:val="en-US"/>
      <w14:ligatures w14:val="none"/>
    </w:rPr>
  </w:style>
  <w:style w:type="paragraph" w:styleId="HTMLTopofForm">
    <w:name w:val="HTML Top of Form"/>
    <w:basedOn w:val="Normal"/>
    <w:next w:val="Normal"/>
    <w:link w:val="z-TopofFormChar"/>
    <w:hidden/>
    <w:rsid w:val="00204E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204E6A"/>
    <w:rPr>
      <w:rFonts w:ascii="Arial" w:eastAsia="Times New Roman" w:hAnsi="Arial" w:cs="Arial"/>
      <w:vanish/>
      <w:kern w:val="0"/>
      <w:sz w:val="16"/>
      <w:szCs w:val="16"/>
      <w:lang w:val="en-US"/>
      <w14:ligatures w14:val="none"/>
    </w:rPr>
  </w:style>
  <w:style w:type="paragraph" w:styleId="HTMLBottomofForm">
    <w:name w:val="HTML Bottom of Form"/>
    <w:basedOn w:val="Normal"/>
    <w:next w:val="Normal"/>
    <w:link w:val="z-BottomofFormChar"/>
    <w:hidden/>
    <w:rsid w:val="00204E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204E6A"/>
    <w:rPr>
      <w:rFonts w:ascii="Arial" w:eastAsia="Times New Roman" w:hAnsi="Arial" w:cs="Arial"/>
      <w:vanish/>
      <w:kern w:val="0"/>
      <w:sz w:val="16"/>
      <w:szCs w:val="16"/>
      <w:lang w:val="en-US"/>
      <w14:ligatures w14:val="none"/>
    </w:rPr>
  </w:style>
  <w:style w:type="paragraph" w:customStyle="1" w:styleId="MethodValidationX3">
    <w:name w:val="Method ValidationX3"/>
    <w:rsid w:val="00204E6A"/>
    <w:pPr>
      <w:spacing w:after="200" w:line="276" w:lineRule="auto"/>
    </w:pPr>
    <w:rPr>
      <w:kern w:val="0"/>
      <w:lang w:val="en-US"/>
      <w14:ligatures w14:val="none"/>
    </w:rPr>
  </w:style>
  <w:style w:type="paragraph" w:customStyle="1" w:styleId="MyriadPro1015">
    <w:name w:val="Myriad Pro 10 1.5"/>
    <w:basedOn w:val="Normal"/>
    <w:link w:val="MyriadPro1015Char"/>
    <w:autoRedefine/>
    <w:qFormat/>
    <w:rsid w:val="00204E6A"/>
    <w:pPr>
      <w:spacing w:after="120" w:line="360" w:lineRule="auto"/>
      <w:ind w:left="2790" w:firstLine="90"/>
      <w:contextualSpacing/>
    </w:pPr>
    <w:rPr>
      <w:rFonts w:ascii="Myriad Pro" w:hAnsi="Myriad Pro"/>
      <w:bCs/>
      <w:sz w:val="20"/>
      <w:szCs w:val="20"/>
    </w:rPr>
  </w:style>
  <w:style w:type="character" w:customStyle="1" w:styleId="MyriadPro1015Char">
    <w:name w:val="Myriad Pro 10 1.5 Char"/>
    <w:basedOn w:val="DefaultParagraphFont"/>
    <w:link w:val="MyriadPro1015"/>
    <w:rsid w:val="00204E6A"/>
    <w:rPr>
      <w:rFonts w:ascii="Myriad Pro" w:eastAsia="Times New Roman" w:hAnsi="Myriad Pro" w:cs="Times New Roman"/>
      <w:bCs/>
      <w:kern w:val="0"/>
      <w:sz w:val="20"/>
      <w:szCs w:val="20"/>
      <w:lang w:val="en-US"/>
      <w14:ligatures w14:val="none"/>
    </w:rPr>
  </w:style>
  <w:style w:type="paragraph" w:customStyle="1" w:styleId="HematologySOWStyle">
    <w:name w:val="Hematology SOW Style"/>
    <w:basedOn w:val="MyriadPro1015"/>
    <w:link w:val="HematologySOWStyleChar"/>
    <w:autoRedefine/>
    <w:qFormat/>
    <w:rsid w:val="00204E6A"/>
    <w:pPr>
      <w:ind w:left="0"/>
    </w:pPr>
    <w:rPr>
      <w:bCs w:val="0"/>
      <w:color w:val="000000" w:themeColor="text1"/>
      <w:szCs w:val="24"/>
    </w:rPr>
  </w:style>
  <w:style w:type="character" w:customStyle="1" w:styleId="HematologySOWStyleChar">
    <w:name w:val="Hematology SOW Style Char"/>
    <w:basedOn w:val="MyriadPro1015Char"/>
    <w:link w:val="HematologySOWStyle"/>
    <w:rsid w:val="00204E6A"/>
    <w:rPr>
      <w:rFonts w:ascii="Myriad Pro" w:eastAsia="Times New Roman" w:hAnsi="Myriad Pro" w:cs="Times New Roman"/>
      <w:bCs w:val="0"/>
      <w:color w:val="000000" w:themeColor="text1"/>
      <w:kern w:val="0"/>
      <w:sz w:val="20"/>
      <w:szCs w:val="24"/>
      <w:lang w:val="en-US"/>
      <w14:ligatures w14:val="none"/>
    </w:rPr>
  </w:style>
  <w:style w:type="paragraph" w:customStyle="1" w:styleId="207EDAC82EBD4407AFE725548A2E3A02">
    <w:name w:val="207EDAC82EBD4407AFE725548A2E3A02"/>
    <w:rsid w:val="00204E6A"/>
    <w:pPr>
      <w:spacing w:after="200" w:line="276" w:lineRule="auto"/>
    </w:pPr>
    <w:rPr>
      <w:rFonts w:eastAsiaTheme="minorEastAsia"/>
      <w:kern w:val="0"/>
      <w:lang w:val="en-US"/>
      <w14:ligatures w14:val="none"/>
    </w:rPr>
  </w:style>
  <w:style w:type="paragraph" w:customStyle="1" w:styleId="MyriadPro10150">
    <w:name w:val="Myriad Pro 10 1.5 0"/>
    <w:aliases w:val="6 do not add"/>
    <w:basedOn w:val="Normal"/>
    <w:link w:val="MyriadPro10150Char"/>
    <w:rsid w:val="00204E6A"/>
    <w:pPr>
      <w:spacing w:after="120" w:line="360" w:lineRule="auto"/>
      <w:contextualSpacing/>
    </w:pPr>
    <w:rPr>
      <w:rFonts w:ascii="Myriad Pro" w:hAnsi="Myriad Pro"/>
      <w:sz w:val="20"/>
    </w:rPr>
  </w:style>
  <w:style w:type="character" w:customStyle="1" w:styleId="MyriadPro10150Char">
    <w:name w:val="Myriad Pro 10 1.5 0 Char"/>
    <w:aliases w:val="6 do not add Char"/>
    <w:basedOn w:val="DefaultParagraphFont"/>
    <w:link w:val="MyriadPro10150"/>
    <w:rsid w:val="00204E6A"/>
    <w:rPr>
      <w:rFonts w:ascii="Myriad Pro" w:eastAsia="Times New Roman" w:hAnsi="Myriad Pro" w:cs="Times New Roman"/>
      <w:kern w:val="0"/>
      <w:sz w:val="20"/>
      <w:szCs w:val="24"/>
      <w:lang w:val="en-US"/>
      <w14:ligatures w14:val="none"/>
    </w:rPr>
  </w:style>
  <w:style w:type="paragraph" w:customStyle="1" w:styleId="F2800A5096DA4E82956845B7A3662789">
    <w:name w:val="F2800A5096DA4E82956845B7A3662789"/>
    <w:rsid w:val="00204E6A"/>
    <w:pPr>
      <w:spacing w:after="200" w:line="276" w:lineRule="auto"/>
    </w:pPr>
    <w:rPr>
      <w:rFonts w:eastAsiaTheme="minorEastAsia"/>
      <w:kern w:val="0"/>
      <w:lang w:val="en-US"/>
      <w14:ligatures w14:val="none"/>
    </w:rPr>
  </w:style>
  <w:style w:type="paragraph" w:customStyle="1" w:styleId="2F33287B1F804EEAB90CDCADB3D716E78">
    <w:name w:val="2F33287B1F804EEAB90CDCADB3D716E78"/>
    <w:rsid w:val="00204E6A"/>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character" w:styleId="FollowedHyperlink">
    <w:name w:val="FollowedHyperlink"/>
    <w:basedOn w:val="DefaultParagraphFont"/>
    <w:rsid w:val="00204E6A"/>
    <w:rPr>
      <w:color w:val="800080" w:themeColor="followedHyperlink"/>
      <w:u w:val="single"/>
    </w:rPr>
  </w:style>
  <w:style w:type="paragraph" w:styleId="Revision">
    <w:name w:val="Revision"/>
    <w:hidden/>
    <w:uiPriority w:val="99"/>
    <w:semiHidden/>
    <w:rsid w:val="00204E6A"/>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9"/>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223</Characters>
  <Application>Microsoft Office Word</Application>
  <DocSecurity>8</DocSecurity>
  <Lines>1</Lines>
  <Paragraphs>1</Paragraphs>
  <ScaleCrop>false</ScaleCrop>
  <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2025-04-02T15:29:24Z</dcterms:created>
  <dcterms:modified xsi:type="dcterms:W3CDTF">2025-04-02T15:29:24Z</dcterms:modified>
</cp:coreProperties>
</file>