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5C916" w14:textId="77777777" w:rsidR="0063567E" w:rsidRDefault="0063567E">
      <w:bookmarkStart w:id="0" w:name="_Toc526153388"/>
      <w:bookmarkStart w:id="1" w:name="_Toc526153317"/>
      <w:bookmarkStart w:id="2" w:name="_Toc526153361"/>
      <w:bookmarkStart w:id="3" w:name="_Toc526153318"/>
      <w:bookmarkStart w:id="4" w:name="_Toc526153324"/>
      <w:bookmarkStart w:id="5" w:name="_Toc526153323"/>
      <w:bookmarkStart w:id="6" w:name="_Toc526153320"/>
      <w:bookmarkStart w:id="7" w:name="_Toc526153326"/>
      <w:bookmarkStart w:id="8" w:name="_Toc526153340"/>
      <w:bookmarkEnd w:id="0"/>
      <w:bookmarkEnd w:id="1"/>
      <w:bookmarkEnd w:id="2"/>
    </w:p>
    <w:p w14:paraId="1BA5C917" w14:textId="77777777" w:rsidR="0063567E" w:rsidRDefault="0031217D">
      <w:pPr>
        <w:pStyle w:val="RedaliaNormal"/>
      </w:pPr>
      <w:r>
        <w:rPr>
          <w:noProof/>
        </w:rPr>
        <w:drawing>
          <wp:inline distT="0" distB="0" distL="0" distR="0" wp14:anchorId="1BA5C916" wp14:editId="1564F848">
            <wp:extent cx="828675" cy="1495425"/>
            <wp:effectExtent l="0" t="0" r="9525" b="9525"/>
            <wp:docPr id="1774550532" name="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829012" cy="1496034"/>
                    </a:xfrm>
                    <a:prstGeom prst="rect">
                      <a:avLst/>
                    </a:prstGeom>
                    <a:solidFill>
                      <a:srgbClr val="5B9BD5"/>
                    </a:solidFill>
                    <a:ln>
                      <a:noFill/>
                    </a:ln>
                  </pic:spPr>
                </pic:pic>
              </a:graphicData>
            </a:graphic>
          </wp:inline>
        </w:drawing>
      </w:r>
    </w:p>
    <w:p w14:paraId="1BA5C918" w14:textId="77777777" w:rsidR="0063567E" w:rsidRDefault="0063567E">
      <w:pPr>
        <w:pStyle w:val="RedaliaNormal"/>
      </w:pPr>
    </w:p>
    <w:p w14:paraId="1BA5C919" w14:textId="77777777" w:rsidR="0063567E" w:rsidRDefault="0031217D">
      <w:pPr>
        <w:pStyle w:val="RedaliaNormal"/>
      </w:pPr>
      <w:r>
        <w:t>Opération : Construction du Centre d'Incendie et de Secours de GOLBEY</w:t>
      </w:r>
    </w:p>
    <w:p w14:paraId="1BA5C91A" w14:textId="77777777" w:rsidR="0063567E" w:rsidRDefault="0063567E">
      <w:pPr>
        <w:pStyle w:val="RedaliaNormal"/>
        <w:jc w:val="center"/>
        <w:rPr>
          <w:sz w:val="48"/>
          <w:szCs w:val="48"/>
        </w:rPr>
      </w:pPr>
    </w:p>
    <w:p w14:paraId="1BA5C91B" w14:textId="77777777" w:rsidR="0063567E" w:rsidRDefault="0031217D">
      <w:pPr>
        <w:pStyle w:val="RedaliaTitredocument"/>
      </w:pPr>
      <w:r>
        <w:t>MARCHE DE TRAVAUX</w:t>
      </w:r>
    </w:p>
    <w:p w14:paraId="1BA5C91C" w14:textId="77777777" w:rsidR="0063567E" w:rsidRDefault="0063567E">
      <w:pPr>
        <w:pStyle w:val="RedaliaNormal"/>
        <w:jc w:val="center"/>
      </w:pPr>
    </w:p>
    <w:p w14:paraId="1BA5C91D" w14:textId="77777777" w:rsidR="0063567E" w:rsidRDefault="0031217D">
      <w:pPr>
        <w:pStyle w:val="RedaliaSoustitredocument"/>
        <w:rPr>
          <w:b/>
          <w:sz w:val="40"/>
          <w:szCs w:val="40"/>
        </w:rPr>
      </w:pPr>
      <w:r>
        <w:rPr>
          <w:b/>
          <w:sz w:val="40"/>
          <w:szCs w:val="40"/>
        </w:rPr>
        <w:t>Règlement de la consultation</w:t>
      </w:r>
    </w:p>
    <w:p w14:paraId="1BA5C91E" w14:textId="77777777" w:rsidR="0063567E" w:rsidRDefault="0063567E">
      <w:pPr>
        <w:pStyle w:val="RedaliaNormal"/>
      </w:pPr>
    </w:p>
    <w:p w14:paraId="1BA5C91F" w14:textId="77777777" w:rsidR="0063567E" w:rsidRDefault="0031217D">
      <w:pPr>
        <w:pStyle w:val="RdaliaTitreparagraphe"/>
      </w:pPr>
      <w:r>
        <w:t>Maître d’ouvrage</w:t>
      </w:r>
    </w:p>
    <w:p w14:paraId="1BA5C920" w14:textId="77777777" w:rsidR="0063567E" w:rsidRDefault="0031217D">
      <w:pPr>
        <w:pStyle w:val="RedaliaNormal"/>
        <w:rPr>
          <w:b/>
          <w:bCs/>
        </w:rPr>
      </w:pPr>
      <w:r>
        <w:rPr>
          <w:b/>
          <w:bCs/>
        </w:rPr>
        <w:t>Service Départemental d'Incendie et de Secours des Vosges</w:t>
      </w:r>
    </w:p>
    <w:p w14:paraId="1BA5C921" w14:textId="7B93CF58" w:rsidR="0063567E" w:rsidRDefault="0031217D">
      <w:pPr>
        <w:pStyle w:val="RedaliaNormal"/>
      </w:pPr>
      <w:r>
        <w:t xml:space="preserve">Adresse :   2 Voie Husson </w:t>
      </w:r>
      <w:r w:rsidR="008418E8">
        <w:t>- 88190</w:t>
      </w:r>
      <w:r>
        <w:t xml:space="preserve"> GOLBEY </w:t>
      </w:r>
    </w:p>
    <w:p w14:paraId="1BA5C922" w14:textId="77777777" w:rsidR="0063567E" w:rsidRDefault="0031217D">
      <w:pPr>
        <w:pStyle w:val="RedaliaNormal"/>
      </w:pPr>
      <w:r>
        <w:t>Téléphone : 0329695330</w:t>
      </w:r>
    </w:p>
    <w:p w14:paraId="16CBED1C" w14:textId="50FB4B1B" w:rsidR="00C2492D" w:rsidRDefault="00C2492D">
      <w:pPr>
        <w:pStyle w:val="RedaliaNormal"/>
      </w:pPr>
      <w:proofErr w:type="gramStart"/>
      <w:r>
        <w:t>Email</w:t>
      </w:r>
      <w:proofErr w:type="gramEnd"/>
      <w:r>
        <w:t> : contact@sdis88.fr</w:t>
      </w:r>
    </w:p>
    <w:p w14:paraId="1BA5C923" w14:textId="77777777" w:rsidR="0063567E" w:rsidRDefault="0031217D">
      <w:pPr>
        <w:pStyle w:val="RdaliaTitreparagraphe"/>
      </w:pPr>
      <w:r>
        <w:t>Objet de la consultation</w:t>
      </w:r>
    </w:p>
    <w:p w14:paraId="1BA5C924" w14:textId="77777777" w:rsidR="0063567E" w:rsidRDefault="0031217D">
      <w:pPr>
        <w:pStyle w:val="RedaliaNormal"/>
        <w:rPr>
          <w:b/>
          <w:bCs/>
        </w:rPr>
      </w:pPr>
      <w:r>
        <w:rPr>
          <w:b/>
          <w:bCs/>
        </w:rPr>
        <w:t>Construction du Centre d'Incendie et de Secours de GOLBEY</w:t>
      </w:r>
    </w:p>
    <w:p w14:paraId="1BA5C925" w14:textId="77777777" w:rsidR="0063567E" w:rsidRDefault="0031217D">
      <w:pPr>
        <w:pStyle w:val="RdaliaTitreparagraphe"/>
      </w:pPr>
      <w:r>
        <w:t>Date limite de remise des offres</w:t>
      </w:r>
    </w:p>
    <w:p w14:paraId="1BA5C926" w14:textId="6EF95167" w:rsidR="0063567E" w:rsidRDefault="0031217D">
      <w:pPr>
        <w:pStyle w:val="RedaliaNormal"/>
      </w:pPr>
      <w:r>
        <w:t xml:space="preserve">Date : </w:t>
      </w:r>
      <w:r w:rsidRPr="00BB4537">
        <w:rPr>
          <w:b/>
          <w:bCs/>
          <w:sz w:val="28"/>
          <w:szCs w:val="28"/>
        </w:rPr>
        <w:t xml:space="preserve">le </w:t>
      </w:r>
      <w:r w:rsidR="005E7B82">
        <w:rPr>
          <w:b/>
          <w:bCs/>
          <w:sz w:val="28"/>
          <w:szCs w:val="28"/>
        </w:rPr>
        <w:t>9</w:t>
      </w:r>
      <w:r w:rsidR="00685427" w:rsidRPr="00685427">
        <w:rPr>
          <w:b/>
          <w:bCs/>
          <w:sz w:val="28"/>
          <w:szCs w:val="28"/>
        </w:rPr>
        <w:t xml:space="preserve"> AVRIL</w:t>
      </w:r>
      <w:r w:rsidR="00BB4537" w:rsidRPr="00685427">
        <w:rPr>
          <w:b/>
          <w:bCs/>
          <w:sz w:val="28"/>
          <w:szCs w:val="28"/>
        </w:rPr>
        <w:t xml:space="preserve"> </w:t>
      </w:r>
      <w:r w:rsidRPr="00BB4537">
        <w:rPr>
          <w:b/>
          <w:bCs/>
          <w:sz w:val="28"/>
          <w:szCs w:val="28"/>
        </w:rPr>
        <w:t>2025</w:t>
      </w:r>
    </w:p>
    <w:p w14:paraId="1BA5C927" w14:textId="7040306F" w:rsidR="0063567E" w:rsidRDefault="0031217D">
      <w:pPr>
        <w:pStyle w:val="RedaliaNormal"/>
      </w:pPr>
      <w:r>
        <w:t>Heure : 11</w:t>
      </w:r>
      <w:r w:rsidR="00BB4537">
        <w:t>h</w:t>
      </w:r>
      <w:r>
        <w:t>30</w:t>
      </w:r>
    </w:p>
    <w:p w14:paraId="1BA5C928" w14:textId="77777777" w:rsidR="0063567E" w:rsidRDefault="0063567E"/>
    <w:p w14:paraId="1BA5C929" w14:textId="77777777" w:rsidR="0063567E" w:rsidRDefault="0031217D">
      <w:pPr>
        <w:pStyle w:val="RdaliaTitredossier"/>
        <w:pageBreakBefore/>
      </w:pPr>
      <w:r>
        <w:lastRenderedPageBreak/>
        <w:t>Sommaire</w:t>
      </w:r>
    </w:p>
    <w:p w14:paraId="1BA5C92A" w14:textId="77777777" w:rsidR="0063567E" w:rsidRDefault="0063567E"/>
    <w:p w14:paraId="1BA5C92B" w14:textId="77777777" w:rsidR="0063567E" w:rsidRDefault="0031217D">
      <w:pPr>
        <w:pStyle w:val="TM1"/>
      </w:pPr>
      <w:r>
        <w:rPr>
          <w:b w:val="0"/>
          <w:kern w:val="0"/>
          <w:sz w:val="22"/>
        </w:rPr>
        <w:fldChar w:fldCharType="begin"/>
      </w:r>
      <w:r>
        <w:instrText xml:space="preserve"> TOC \o "1-2" \u \h </w:instrText>
      </w:r>
      <w:r>
        <w:rPr>
          <w:b w:val="0"/>
          <w:kern w:val="0"/>
          <w:sz w:val="22"/>
        </w:rPr>
        <w:fldChar w:fldCharType="separate"/>
      </w:r>
      <w:hyperlink w:anchor="__RefHeading__22211_280481371" w:history="1">
        <w:r>
          <w:t xml:space="preserve">1. Objet du marché </w:t>
        </w:r>
        <w:r>
          <w:tab/>
          <w:t>3</w:t>
        </w:r>
      </w:hyperlink>
    </w:p>
    <w:p w14:paraId="1BA5C92C" w14:textId="77777777" w:rsidR="0063567E" w:rsidRDefault="0031217D">
      <w:pPr>
        <w:pStyle w:val="TM2"/>
      </w:pPr>
      <w:hyperlink w:anchor="__RefHeading__22213_280481371" w:history="1">
        <w:r>
          <w:t>1.1 Décomposition en lots</w:t>
        </w:r>
        <w:r>
          <w:tab/>
          <w:t>3</w:t>
        </w:r>
      </w:hyperlink>
    </w:p>
    <w:p w14:paraId="1BA5C92D" w14:textId="77777777" w:rsidR="0063567E" w:rsidRDefault="0031217D">
      <w:pPr>
        <w:pStyle w:val="TM2"/>
      </w:pPr>
      <w:hyperlink w:anchor="__RefHeading__22215_280481371" w:history="1">
        <w:r>
          <w:t>1.2 Forme des marchés</w:t>
        </w:r>
        <w:r>
          <w:tab/>
          <w:t>4</w:t>
        </w:r>
      </w:hyperlink>
    </w:p>
    <w:p w14:paraId="1BA5C92E" w14:textId="77777777" w:rsidR="0063567E" w:rsidRDefault="0031217D">
      <w:pPr>
        <w:pStyle w:val="TM2"/>
      </w:pPr>
      <w:hyperlink w:anchor="__RefHeading__22217_280481371" w:history="1">
        <w:r>
          <w:t>1.3 Durée du marché – Reconduction – Délais d’exécution</w:t>
        </w:r>
        <w:r>
          <w:tab/>
          <w:t>4</w:t>
        </w:r>
      </w:hyperlink>
    </w:p>
    <w:p w14:paraId="1BA5C92F" w14:textId="77777777" w:rsidR="0063567E" w:rsidRDefault="0031217D">
      <w:pPr>
        <w:pStyle w:val="TM1"/>
      </w:pPr>
      <w:hyperlink w:anchor="__RefHeading__22219_280481371" w:history="1">
        <w:r>
          <w:t>2. Organisation de la consultation</w:t>
        </w:r>
        <w:r>
          <w:tab/>
          <w:t>4</w:t>
        </w:r>
      </w:hyperlink>
    </w:p>
    <w:p w14:paraId="1BA5C930" w14:textId="77777777" w:rsidR="0063567E" w:rsidRDefault="0031217D">
      <w:pPr>
        <w:pStyle w:val="TM2"/>
      </w:pPr>
      <w:hyperlink w:anchor="__RefHeading__22221_280481371" w:history="1">
        <w:r>
          <w:t>2.1 Procédure de passation</w:t>
        </w:r>
        <w:r>
          <w:tab/>
          <w:t>4</w:t>
        </w:r>
      </w:hyperlink>
    </w:p>
    <w:p w14:paraId="1BA5C931" w14:textId="77777777" w:rsidR="0063567E" w:rsidRDefault="0031217D">
      <w:pPr>
        <w:pStyle w:val="TM2"/>
      </w:pPr>
      <w:hyperlink w:anchor="__RefHeading__22223_280481371" w:history="1">
        <w:r>
          <w:t>2.2 Mode de dévolution : marchés séparés</w:t>
        </w:r>
        <w:r>
          <w:tab/>
          <w:t>4</w:t>
        </w:r>
      </w:hyperlink>
    </w:p>
    <w:p w14:paraId="1BA5C932" w14:textId="77777777" w:rsidR="0063567E" w:rsidRDefault="0031217D">
      <w:pPr>
        <w:pStyle w:val="TM2"/>
      </w:pPr>
      <w:hyperlink w:anchor="__RefHeading__22225_280481371" w:history="1">
        <w:r>
          <w:t>2.3 Dispositions relatives aux groupements</w:t>
        </w:r>
        <w:r>
          <w:tab/>
          <w:t>4</w:t>
        </w:r>
      </w:hyperlink>
    </w:p>
    <w:p w14:paraId="1BA5C933" w14:textId="77777777" w:rsidR="0063567E" w:rsidRDefault="0031217D">
      <w:pPr>
        <w:pStyle w:val="TM2"/>
      </w:pPr>
      <w:hyperlink w:anchor="__RefHeading__22227_280481371" w:history="1">
        <w:r>
          <w:t>2.4 Variantes</w:t>
        </w:r>
        <w:r>
          <w:tab/>
          <w:t>5</w:t>
        </w:r>
      </w:hyperlink>
    </w:p>
    <w:p w14:paraId="1BA5C934" w14:textId="77777777" w:rsidR="0063567E" w:rsidRDefault="0031217D">
      <w:pPr>
        <w:pStyle w:val="TM2"/>
      </w:pPr>
      <w:hyperlink w:anchor="__RefHeading__22229_280481371" w:history="1">
        <w:r>
          <w:t>2.5 PSE – Prestations supplémentaires éventuelles</w:t>
        </w:r>
        <w:r>
          <w:tab/>
          <w:t>5</w:t>
        </w:r>
      </w:hyperlink>
    </w:p>
    <w:p w14:paraId="1BA5C935" w14:textId="77777777" w:rsidR="0063567E" w:rsidRDefault="0031217D">
      <w:pPr>
        <w:pStyle w:val="TM2"/>
      </w:pPr>
      <w:hyperlink w:anchor="__RefHeading__22231_280481371" w:history="1">
        <w:r>
          <w:t>2.6 Modification de détail au dossier de consultation</w:t>
        </w:r>
        <w:r>
          <w:tab/>
          <w:t>7</w:t>
        </w:r>
      </w:hyperlink>
    </w:p>
    <w:p w14:paraId="1BA5C936" w14:textId="77777777" w:rsidR="0063567E" w:rsidRDefault="0031217D">
      <w:pPr>
        <w:pStyle w:val="TM2"/>
      </w:pPr>
      <w:hyperlink w:anchor="__RefHeading__22233_280481371" w:history="1">
        <w:r>
          <w:t>2.7 Délai de validité des offres</w:t>
        </w:r>
        <w:r>
          <w:tab/>
          <w:t>7</w:t>
        </w:r>
      </w:hyperlink>
    </w:p>
    <w:p w14:paraId="1BA5C937" w14:textId="77777777" w:rsidR="0063567E" w:rsidRDefault="0031217D">
      <w:pPr>
        <w:pStyle w:val="TM1"/>
      </w:pPr>
      <w:hyperlink w:anchor="__RefHeading__22235_280481371" w:history="1">
        <w:r>
          <w:t>3. Contenu du dossier de consultation</w:t>
        </w:r>
        <w:r>
          <w:tab/>
          <w:t>7</w:t>
        </w:r>
      </w:hyperlink>
    </w:p>
    <w:p w14:paraId="1BA5C938" w14:textId="77777777" w:rsidR="0063567E" w:rsidRDefault="0031217D">
      <w:pPr>
        <w:pStyle w:val="TM1"/>
      </w:pPr>
      <w:hyperlink w:anchor="__RefHeading__22237_280481371" w:history="1">
        <w:r>
          <w:t>4. Retrait du dossier de consultation</w:t>
        </w:r>
        <w:r>
          <w:tab/>
          <w:t>7</w:t>
        </w:r>
      </w:hyperlink>
    </w:p>
    <w:p w14:paraId="1BA5C939" w14:textId="77777777" w:rsidR="0063567E" w:rsidRDefault="0031217D">
      <w:pPr>
        <w:pStyle w:val="TM1"/>
      </w:pPr>
      <w:hyperlink w:anchor="__RefHeading__22239_280481371" w:history="1">
        <w:r>
          <w:t>5. Présentation des candidatures et des offres</w:t>
        </w:r>
        <w:r>
          <w:tab/>
          <w:t>8</w:t>
        </w:r>
      </w:hyperlink>
    </w:p>
    <w:p w14:paraId="1BA5C93A" w14:textId="77777777" w:rsidR="0063567E" w:rsidRDefault="0031217D">
      <w:pPr>
        <w:pStyle w:val="TM2"/>
      </w:pPr>
      <w:hyperlink w:anchor="__RefHeading__22241_280481371" w:history="1">
        <w:r>
          <w:t>5.1 Éléments nécessaires à la sélection des candidatures</w:t>
        </w:r>
        <w:r>
          <w:tab/>
          <w:t>8</w:t>
        </w:r>
      </w:hyperlink>
    </w:p>
    <w:p w14:paraId="1BA5C93B" w14:textId="77777777" w:rsidR="0063567E" w:rsidRDefault="0031217D">
      <w:pPr>
        <w:pStyle w:val="TM2"/>
      </w:pPr>
      <w:hyperlink w:anchor="__RefHeading__22243_280481371" w:history="1">
        <w:r>
          <w:t>5.2 Éléments nécessaires au choix de l’offre</w:t>
        </w:r>
        <w:r>
          <w:tab/>
          <w:t>9</w:t>
        </w:r>
      </w:hyperlink>
    </w:p>
    <w:p w14:paraId="1BA5C93C" w14:textId="77777777" w:rsidR="0063567E" w:rsidRDefault="0031217D">
      <w:pPr>
        <w:pStyle w:val="TM1"/>
      </w:pPr>
      <w:hyperlink w:anchor="__RefHeading__22245_280481371" w:history="1">
        <w:r>
          <w:t xml:space="preserve">6. Jugement des candidatures, des offres et attribution du marché </w:t>
        </w:r>
        <w:r>
          <w:tab/>
          <w:t>11</w:t>
        </w:r>
      </w:hyperlink>
    </w:p>
    <w:p w14:paraId="1BA5C93D" w14:textId="77777777" w:rsidR="0063567E" w:rsidRDefault="0031217D">
      <w:pPr>
        <w:pStyle w:val="TM2"/>
      </w:pPr>
      <w:hyperlink w:anchor="__RefHeading__22247_280481371" w:history="1">
        <w:r>
          <w:t>6.1 Jugement des candidatures</w:t>
        </w:r>
        <w:r>
          <w:tab/>
          <w:t>11</w:t>
        </w:r>
      </w:hyperlink>
    </w:p>
    <w:p w14:paraId="1BA5C93E" w14:textId="77777777" w:rsidR="0063567E" w:rsidRDefault="0031217D">
      <w:pPr>
        <w:pStyle w:val="TM2"/>
      </w:pPr>
      <w:hyperlink w:anchor="__RefHeading__22249_280481371" w:history="1">
        <w:r>
          <w:t>6.2 Jugement des offres</w:t>
        </w:r>
        <w:r>
          <w:tab/>
          <w:t>11</w:t>
        </w:r>
      </w:hyperlink>
    </w:p>
    <w:p w14:paraId="1BA5C93F" w14:textId="77777777" w:rsidR="0063567E" w:rsidRDefault="0031217D">
      <w:pPr>
        <w:pStyle w:val="TM2"/>
      </w:pPr>
      <w:hyperlink w:anchor="__RefHeading__22251_280481371" w:history="1">
        <w:r>
          <w:t>6.3 Attribution du marché</w:t>
        </w:r>
        <w:r>
          <w:tab/>
          <w:t>11</w:t>
        </w:r>
      </w:hyperlink>
    </w:p>
    <w:p w14:paraId="1BA5C940" w14:textId="77777777" w:rsidR="0063567E" w:rsidRDefault="0031217D">
      <w:pPr>
        <w:pStyle w:val="TM1"/>
      </w:pPr>
      <w:hyperlink w:anchor="__RefHeading__22253_280481371" w:history="1">
        <w:r>
          <w:t>7. Conditions d’envoi et de remise des candidatures et des offres</w:t>
        </w:r>
        <w:r>
          <w:tab/>
          <w:t>12</w:t>
        </w:r>
      </w:hyperlink>
    </w:p>
    <w:p w14:paraId="1BA5C941" w14:textId="77777777" w:rsidR="0063567E" w:rsidRDefault="0031217D">
      <w:pPr>
        <w:pStyle w:val="TM1"/>
      </w:pPr>
      <w:hyperlink w:anchor="__RefHeading__22255_280481371" w:history="1">
        <w:r>
          <w:t>8. Renseignements complémentaires</w:t>
        </w:r>
        <w:r>
          <w:tab/>
          <w:t>13</w:t>
        </w:r>
      </w:hyperlink>
    </w:p>
    <w:p w14:paraId="1BA5C942" w14:textId="77777777" w:rsidR="0063567E" w:rsidRDefault="0031217D">
      <w:r>
        <w:rPr>
          <w:b/>
          <w:kern w:val="3"/>
          <w:sz w:val="24"/>
        </w:rPr>
        <w:fldChar w:fldCharType="end"/>
      </w:r>
    </w:p>
    <w:p w14:paraId="1BA5C943" w14:textId="77777777" w:rsidR="0063567E" w:rsidRDefault="0063567E"/>
    <w:p w14:paraId="1BA5C944" w14:textId="77777777" w:rsidR="0063567E" w:rsidRDefault="0063567E">
      <w:pPr>
        <w:pageBreakBefore/>
      </w:pPr>
    </w:p>
    <w:p w14:paraId="1BA5C945" w14:textId="77777777" w:rsidR="0063567E" w:rsidRDefault="0031217D">
      <w:pPr>
        <w:pStyle w:val="RedaliaTitre1"/>
      </w:pPr>
      <w:bookmarkStart w:id="9" w:name="__RefHeading__22211_280481371"/>
      <w:r>
        <w:t>Objet du marché</w:t>
      </w:r>
      <w:bookmarkEnd w:id="9"/>
    </w:p>
    <w:p w14:paraId="1BA5C946" w14:textId="77777777" w:rsidR="0063567E" w:rsidRDefault="0031217D">
      <w:pPr>
        <w:pStyle w:val="RedaliaNormal"/>
      </w:pPr>
      <w:r>
        <w:t>La consultation a pour objet : Construction du Centre d'Incendie et de Secours de GOLBEY.</w:t>
      </w:r>
    </w:p>
    <w:p w14:paraId="1BA5C947" w14:textId="6A87D0AD" w:rsidR="0063567E" w:rsidRDefault="0031217D">
      <w:pPr>
        <w:pStyle w:val="RedaliaNormal"/>
      </w:pPr>
      <w:r>
        <w:t xml:space="preserve">Lieu d’exécution des prestations : </w:t>
      </w:r>
      <w:r w:rsidR="00E76784" w:rsidRPr="00660571">
        <w:t>Zone industrielle des hauts cailloux – 88190 GOLBEY</w:t>
      </w:r>
      <w:r>
        <w:t>.</w:t>
      </w:r>
    </w:p>
    <w:p w14:paraId="1BA5C948" w14:textId="77777777" w:rsidR="0063567E" w:rsidRDefault="0031217D">
      <w:pPr>
        <w:pStyle w:val="RedaliaTitre2"/>
      </w:pPr>
      <w:bookmarkStart w:id="10" w:name="__RefHeading__22213_280481371"/>
      <w:r>
        <w:t>Décomposition en lots</w:t>
      </w:r>
      <w:bookmarkEnd w:id="10"/>
    </w:p>
    <w:p w14:paraId="1BA5C949" w14:textId="77777777" w:rsidR="0063567E" w:rsidRDefault="0031217D">
      <w:pPr>
        <w:pStyle w:val="RedaliaNormal"/>
      </w:pPr>
      <w:r>
        <w:t>Les différents lots de la consultation sont les suivants :</w:t>
      </w:r>
    </w:p>
    <w:p w14:paraId="1BA5C94A" w14:textId="3E7AC5C4" w:rsidR="0063567E" w:rsidRDefault="0031217D">
      <w:pPr>
        <w:pStyle w:val="RedaliaRetraitavecpuce"/>
        <w:numPr>
          <w:ilvl w:val="0"/>
          <w:numId w:val="13"/>
        </w:numPr>
      </w:pPr>
      <w:r>
        <w:t xml:space="preserve">Lot n°01 : Terrassement - VRD - </w:t>
      </w:r>
      <w:r w:rsidR="00E76784">
        <w:t>A</w:t>
      </w:r>
      <w:r>
        <w:t>ménagement</w:t>
      </w:r>
    </w:p>
    <w:p w14:paraId="1BA5C94B" w14:textId="77777777" w:rsidR="0063567E" w:rsidRDefault="0031217D">
      <w:pPr>
        <w:pStyle w:val="RedaliaRetraitavecpuce"/>
      </w:pPr>
      <w:r>
        <w:t>Lot n°02 : Fondations spéciales</w:t>
      </w:r>
    </w:p>
    <w:p w14:paraId="1BA5C94C" w14:textId="284A69D3" w:rsidR="0063567E" w:rsidRDefault="0031217D">
      <w:pPr>
        <w:pStyle w:val="RedaliaRetraitavecpuce"/>
      </w:pPr>
      <w:r>
        <w:t xml:space="preserve">Lot n°03 : Gros </w:t>
      </w:r>
      <w:r w:rsidR="002A1183">
        <w:t xml:space="preserve">œuvre </w:t>
      </w:r>
    </w:p>
    <w:p w14:paraId="1BA5C94D" w14:textId="65F28E7E" w:rsidR="0063567E" w:rsidRDefault="0031217D">
      <w:pPr>
        <w:pStyle w:val="RedaliaRetraitavecpuce"/>
      </w:pPr>
      <w:r>
        <w:t xml:space="preserve">Lot n°04 : Charpente bois - </w:t>
      </w:r>
      <w:r w:rsidR="00E76784">
        <w:t>F</w:t>
      </w:r>
      <w:r>
        <w:t>açade bois</w:t>
      </w:r>
    </w:p>
    <w:p w14:paraId="1BA5C94E" w14:textId="77777777" w:rsidR="0063567E" w:rsidRDefault="0031217D">
      <w:pPr>
        <w:pStyle w:val="RedaliaRetraitavecpuce"/>
      </w:pPr>
      <w:r>
        <w:t>Lot n°05 : Etanchéité</w:t>
      </w:r>
    </w:p>
    <w:p w14:paraId="1BA5C94F" w14:textId="77777777" w:rsidR="0063567E" w:rsidRDefault="0031217D">
      <w:pPr>
        <w:pStyle w:val="RedaliaRetraitavecpuce"/>
      </w:pPr>
      <w:r>
        <w:t>Lot n°06 : Bardage</w:t>
      </w:r>
    </w:p>
    <w:p w14:paraId="1BA5C950" w14:textId="77777777" w:rsidR="0063567E" w:rsidRDefault="0031217D">
      <w:pPr>
        <w:pStyle w:val="RedaliaRetraitavecpuce"/>
      </w:pPr>
      <w:r>
        <w:t>Lot n°07 : Serrurerie</w:t>
      </w:r>
    </w:p>
    <w:p w14:paraId="1BA5C951" w14:textId="77777777" w:rsidR="0063567E" w:rsidRDefault="0031217D">
      <w:pPr>
        <w:pStyle w:val="RedaliaRetraitavecpuce"/>
      </w:pPr>
      <w:r>
        <w:t>Lot n°08 : Menuiseries extérieures</w:t>
      </w:r>
    </w:p>
    <w:p w14:paraId="1BA5C952" w14:textId="77777777" w:rsidR="0063567E" w:rsidRDefault="0031217D">
      <w:pPr>
        <w:pStyle w:val="RedaliaRetraitavecpuce"/>
      </w:pPr>
      <w:r>
        <w:t>Lot n°09 : Cloisons sèches - isolation</w:t>
      </w:r>
    </w:p>
    <w:p w14:paraId="1BA5C953" w14:textId="77777777" w:rsidR="0063567E" w:rsidRDefault="0031217D">
      <w:pPr>
        <w:pStyle w:val="RedaliaRetraitavecpuce"/>
      </w:pPr>
      <w:r>
        <w:t>Lot n°10 : Faux plafonds</w:t>
      </w:r>
    </w:p>
    <w:p w14:paraId="1BA5C954" w14:textId="77777777" w:rsidR="0063567E" w:rsidRDefault="0031217D">
      <w:pPr>
        <w:pStyle w:val="RedaliaRetraitavecpuce"/>
      </w:pPr>
      <w:r>
        <w:t>Lot n°11 : Menuiseries intérieures</w:t>
      </w:r>
    </w:p>
    <w:p w14:paraId="1BA5C955" w14:textId="678EDDBF" w:rsidR="0063567E" w:rsidRDefault="0031217D">
      <w:pPr>
        <w:pStyle w:val="RedaliaRetraitavecpuce"/>
      </w:pPr>
      <w:r>
        <w:t xml:space="preserve">Lot n°12 : Electricité CFO </w:t>
      </w:r>
      <w:r w:rsidR="00E76784">
        <w:t xml:space="preserve">/ </w:t>
      </w:r>
      <w:r>
        <w:t>CFA</w:t>
      </w:r>
    </w:p>
    <w:p w14:paraId="1BA5C956" w14:textId="77777777" w:rsidR="0063567E" w:rsidRDefault="0031217D">
      <w:pPr>
        <w:pStyle w:val="RedaliaRetraitavecpuce"/>
      </w:pPr>
      <w:r>
        <w:t>Lot n°13 : Plomberie - CVC</w:t>
      </w:r>
    </w:p>
    <w:p w14:paraId="1BA5C957" w14:textId="77777777" w:rsidR="0063567E" w:rsidRDefault="0031217D">
      <w:pPr>
        <w:pStyle w:val="RedaliaRetraitavecpuce"/>
      </w:pPr>
      <w:r>
        <w:t>Lot n°14 : Revêtement de sol PVC</w:t>
      </w:r>
    </w:p>
    <w:p w14:paraId="1BA5C958" w14:textId="77777777" w:rsidR="0063567E" w:rsidRDefault="0031217D">
      <w:pPr>
        <w:pStyle w:val="RedaliaRetraitavecpuce"/>
      </w:pPr>
      <w:r>
        <w:t>Lot n°15 : Carrelage - Faïence</w:t>
      </w:r>
    </w:p>
    <w:p w14:paraId="1BA5C959" w14:textId="77777777" w:rsidR="0063567E" w:rsidRDefault="0031217D">
      <w:pPr>
        <w:pStyle w:val="RedaliaRetraitavecpuce"/>
      </w:pPr>
      <w:r>
        <w:t>Lot n°16 : Peinture</w:t>
      </w:r>
    </w:p>
    <w:p w14:paraId="1BA5C95A" w14:textId="77777777" w:rsidR="0063567E" w:rsidRDefault="0031217D">
      <w:pPr>
        <w:pStyle w:val="RedaliaRetraitavecpuce"/>
      </w:pPr>
      <w:r>
        <w:t>Lot n°17 : Portes sectionnelles</w:t>
      </w:r>
    </w:p>
    <w:p w14:paraId="1BA5C95B" w14:textId="77777777" w:rsidR="0063567E" w:rsidRDefault="0031217D">
      <w:pPr>
        <w:pStyle w:val="RedaliaRetraitavecpuce"/>
      </w:pPr>
      <w:r>
        <w:t>Lot n°18 : Mat autoportant</w:t>
      </w:r>
    </w:p>
    <w:p w14:paraId="1BA5C95C" w14:textId="77777777" w:rsidR="0063567E" w:rsidRDefault="0031217D">
      <w:pPr>
        <w:pStyle w:val="RedaliaRetraitavecpuce"/>
      </w:pPr>
      <w:r>
        <w:t>Lot n°19 : Espaces verts</w:t>
      </w:r>
    </w:p>
    <w:p w14:paraId="1BA5C95D" w14:textId="77777777" w:rsidR="0063567E" w:rsidRDefault="0031217D">
      <w:pPr>
        <w:pStyle w:val="RedaliaRetraitavecpuce"/>
      </w:pPr>
      <w:r>
        <w:t>Lot n°20 : Clôtures - portails</w:t>
      </w:r>
    </w:p>
    <w:p w14:paraId="1BA5C95E" w14:textId="04D139AA" w:rsidR="0063567E" w:rsidRDefault="0031217D">
      <w:pPr>
        <w:pStyle w:val="RedaliaRetraitavecpuce"/>
      </w:pPr>
      <w:r>
        <w:t xml:space="preserve">Lot n°21 : Panneaux </w:t>
      </w:r>
      <w:r w:rsidR="00E76784">
        <w:t xml:space="preserve">solaires </w:t>
      </w:r>
      <w:r>
        <w:t>photovoltaïques</w:t>
      </w:r>
    </w:p>
    <w:p w14:paraId="1BA5C95F" w14:textId="77777777" w:rsidR="0063567E" w:rsidRDefault="0031217D">
      <w:pPr>
        <w:pStyle w:val="RedaliaTitre2"/>
      </w:pPr>
      <w:bookmarkStart w:id="11" w:name="__RefHeading__22215_280481371"/>
      <w:r>
        <w:t>Forme des marchés</w:t>
      </w:r>
      <w:bookmarkEnd w:id="11"/>
    </w:p>
    <w:p w14:paraId="1BA5C960" w14:textId="77777777" w:rsidR="0063567E" w:rsidRDefault="0031217D">
      <w:pPr>
        <w:pStyle w:val="RedaliaNormal"/>
      </w:pPr>
      <w:r>
        <w:t>Ils ne font pas l’objet d’un fractionnement.</w:t>
      </w:r>
    </w:p>
    <w:p w14:paraId="1BA5C961" w14:textId="77777777" w:rsidR="0063567E" w:rsidRDefault="0031217D">
      <w:pPr>
        <w:pStyle w:val="RedaliaTitre2"/>
      </w:pPr>
      <w:bookmarkStart w:id="12" w:name="__RefHeading__22217_280481371"/>
      <w:bookmarkStart w:id="13" w:name="_Toc113959344"/>
      <w:r>
        <w:t>Durée du marché – Reconduction – Délais d’exécution</w:t>
      </w:r>
      <w:bookmarkEnd w:id="12"/>
      <w:bookmarkEnd w:id="13"/>
    </w:p>
    <w:p w14:paraId="1BA5C962" w14:textId="77777777" w:rsidR="0063567E" w:rsidRDefault="0031217D">
      <w:pPr>
        <w:pStyle w:val="RedaliaNormal"/>
      </w:pPr>
      <w:r>
        <w:t>La durée du marché, les modalités de reconduction et les délais d’exécution figurent à l’acte d’engagement.</w:t>
      </w:r>
    </w:p>
    <w:p w14:paraId="1BA5C963" w14:textId="77777777" w:rsidR="0063567E" w:rsidRDefault="0031217D">
      <w:pPr>
        <w:pStyle w:val="RedaliaTitre1"/>
      </w:pPr>
      <w:bookmarkStart w:id="14" w:name="__RefHeading__22219_280481371"/>
      <w:bookmarkStart w:id="15" w:name="_Toc113959345"/>
      <w:r>
        <w:t>Organisation de la consultation</w:t>
      </w:r>
      <w:bookmarkEnd w:id="3"/>
      <w:bookmarkEnd w:id="14"/>
      <w:bookmarkEnd w:id="15"/>
    </w:p>
    <w:p w14:paraId="1BA5C964" w14:textId="77777777" w:rsidR="0063567E" w:rsidRDefault="0031217D">
      <w:pPr>
        <w:pStyle w:val="RedaliaTitre2"/>
      </w:pPr>
      <w:bookmarkStart w:id="16" w:name="_Toc526153319"/>
      <w:bookmarkStart w:id="17" w:name="__RefHeading__22221_280481371"/>
      <w:bookmarkStart w:id="18" w:name="_Toc113959346"/>
      <w:r>
        <w:t xml:space="preserve">Procédure de </w:t>
      </w:r>
      <w:bookmarkEnd w:id="16"/>
      <w:r>
        <w:t>passation</w:t>
      </w:r>
      <w:bookmarkEnd w:id="17"/>
      <w:bookmarkEnd w:id="18"/>
    </w:p>
    <w:p w14:paraId="1BA5C965" w14:textId="77777777" w:rsidR="0063567E" w:rsidRDefault="0031217D">
      <w:pPr>
        <w:pStyle w:val="RedaliaNormal"/>
      </w:pPr>
      <w:r>
        <w:t>La présente consultation est passée dans le respect des dispositions des articles R. 2123-1, R. 2123-4 et R. 2123-5 du Code de la commande publique selon une procédure adaptée ouverte avec négociation éventuelle, librement définie par le pouvoir adjudicateur.</w:t>
      </w:r>
    </w:p>
    <w:p w14:paraId="1BA5C967" w14:textId="2744EBF7" w:rsidR="0063567E" w:rsidRDefault="0031217D">
      <w:pPr>
        <w:pStyle w:val="RedaliaNormal"/>
      </w:pPr>
      <w:r>
        <w:t xml:space="preserve">La négociation </w:t>
      </w:r>
      <w:r w:rsidR="003C33DD">
        <w:t xml:space="preserve">pourra </w:t>
      </w:r>
      <w:r>
        <w:t>porter sur toutes les caractéristiques de l'offre du candidat</w:t>
      </w:r>
      <w:r w:rsidR="003C33DD">
        <w:t>.</w:t>
      </w:r>
    </w:p>
    <w:p w14:paraId="1BA5C968" w14:textId="77777777" w:rsidR="0063567E" w:rsidRDefault="0063567E">
      <w:pPr>
        <w:pStyle w:val="RedaliaNormal"/>
      </w:pPr>
    </w:p>
    <w:p w14:paraId="1BA5C969" w14:textId="71EE075F" w:rsidR="0063567E" w:rsidRDefault="0031217D">
      <w:pPr>
        <w:pStyle w:val="RedaliaNormal"/>
      </w:pPr>
      <w:r>
        <w:lastRenderedPageBreak/>
        <w:t xml:space="preserve">Le pouvoir adjudicateur procèdera à l’analyse des offres des candidats sur la base des critères de sélection des offres et engagera les négociations </w:t>
      </w:r>
      <w:r w:rsidRPr="009310BB">
        <w:t>avec</w:t>
      </w:r>
      <w:r w:rsidR="003C5EC0" w:rsidRPr="009310BB">
        <w:t xml:space="preserve"> </w:t>
      </w:r>
      <w:r w:rsidR="00B25529" w:rsidRPr="009310BB">
        <w:t>l</w:t>
      </w:r>
      <w:r w:rsidR="003C5EC0" w:rsidRPr="009310BB">
        <w:t xml:space="preserve">es </w:t>
      </w:r>
      <w:r w:rsidR="00B25529" w:rsidRPr="009310BB">
        <w:t xml:space="preserve">candidats les </w:t>
      </w:r>
      <w:r w:rsidR="003C5EC0" w:rsidRPr="009310BB">
        <w:t>mieux-disants</w:t>
      </w:r>
      <w:r w:rsidR="00B25529" w:rsidRPr="009310BB">
        <w:t>.</w:t>
      </w:r>
    </w:p>
    <w:p w14:paraId="1BA5C96A" w14:textId="77777777" w:rsidR="0063567E" w:rsidRDefault="0031217D">
      <w:pPr>
        <w:pStyle w:val="RedaliaNormal"/>
      </w:pPr>
      <w:r>
        <w:t>Conformément à l’article R. 2144-3 du Code de la commande publique, la vérification de l’aptitude à exercer l’activité professionnelle, de la capacité économique et financière et des capacités techniques et professionnelles des candidats pourra être effectuée à tout moment de la procédure et au plus tard avant l’attribution du marché.</w:t>
      </w:r>
    </w:p>
    <w:p w14:paraId="1BA5C96B" w14:textId="77777777" w:rsidR="0063567E" w:rsidRDefault="0031217D">
      <w:pPr>
        <w:pStyle w:val="RedaliaNormal"/>
      </w:pPr>
      <w:r>
        <w:t>À l’issue de ces négociations, il retiendra l’offre économiquement la plus avantageuse sur la base des critères de choix des offres définis dans l’avis et/ou dans le présent règlement de la consultation.</w:t>
      </w:r>
    </w:p>
    <w:p w14:paraId="1BA5C96C" w14:textId="77777777" w:rsidR="0063567E" w:rsidRDefault="0031217D">
      <w:pPr>
        <w:pStyle w:val="RedaliaTitre2"/>
      </w:pPr>
      <w:bookmarkStart w:id="19" w:name="__RefHeading__22223_280481371"/>
      <w:r>
        <w:t>Mode de dévolution : marchés séparés</w:t>
      </w:r>
      <w:bookmarkEnd w:id="19"/>
    </w:p>
    <w:p w14:paraId="1BA5C96D" w14:textId="77777777" w:rsidR="0063567E" w:rsidRDefault="0031217D">
      <w:pPr>
        <w:pStyle w:val="RedaliaNormal"/>
      </w:pPr>
      <w:r>
        <w:t>La consultation est divisée en 21 lots, chaque lot faisant l’objet d’un marché séparé confié à une entreprise unique ou un groupement d’entreprises.</w:t>
      </w:r>
    </w:p>
    <w:p w14:paraId="1BA5C96E" w14:textId="77777777" w:rsidR="0063567E" w:rsidRDefault="0063567E">
      <w:pPr>
        <w:pStyle w:val="RedaliaNormal"/>
      </w:pPr>
    </w:p>
    <w:p w14:paraId="1BA5C96F" w14:textId="77777777" w:rsidR="0063567E" w:rsidRDefault="0031217D">
      <w:pPr>
        <w:pStyle w:val="RedaliaNormal"/>
      </w:pPr>
      <w:r>
        <w:t>Possibilité de présenter une offre pour :</w:t>
      </w:r>
    </w:p>
    <w:p w14:paraId="1BA5C970" w14:textId="77777777" w:rsidR="0063567E" w:rsidRDefault="0031217D">
      <w:pPr>
        <w:pStyle w:val="RedaliaRetrait2avecpuce"/>
        <w:numPr>
          <w:ilvl w:val="0"/>
          <w:numId w:val="0"/>
        </w:numPr>
        <w:ind w:left="1701" w:hanging="567"/>
      </w:pPr>
      <w:r>
        <w:rPr>
          <w:rFonts w:ascii="Wingdings" w:eastAsia="Wingdings" w:hAnsi="Wingdings" w:cs="Wingdings"/>
          <w:szCs w:val="22"/>
        </w:rPr>
        <w:t></w:t>
      </w:r>
      <w:r>
        <w:t xml:space="preserve"> Un lot</w:t>
      </w:r>
    </w:p>
    <w:p w14:paraId="1BA5C971" w14:textId="77777777" w:rsidR="0063567E" w:rsidRDefault="0031217D">
      <w:pPr>
        <w:pStyle w:val="RedaliaRetrait2avecpuce"/>
        <w:numPr>
          <w:ilvl w:val="0"/>
          <w:numId w:val="0"/>
        </w:numPr>
        <w:ind w:left="1701" w:hanging="567"/>
      </w:pPr>
      <w:r>
        <w:rPr>
          <w:rFonts w:ascii="Wingdings" w:eastAsia="Wingdings" w:hAnsi="Wingdings" w:cs="Wingdings"/>
          <w:szCs w:val="22"/>
        </w:rPr>
        <w:t></w:t>
      </w:r>
      <w:r>
        <w:t xml:space="preserve"> Un ou plusieurs lots</w:t>
      </w:r>
    </w:p>
    <w:p w14:paraId="1BA5C972" w14:textId="77777777" w:rsidR="0063567E" w:rsidRDefault="0031217D">
      <w:pPr>
        <w:pStyle w:val="RedaliaRetrait2avecpuce"/>
        <w:numPr>
          <w:ilvl w:val="0"/>
          <w:numId w:val="0"/>
        </w:numPr>
        <w:ind w:left="1701" w:hanging="567"/>
      </w:pPr>
      <w:r>
        <w:rPr>
          <w:rFonts w:ascii="Wingdings" w:eastAsia="Wingdings" w:hAnsi="Wingdings" w:cs="Wingdings"/>
          <w:szCs w:val="22"/>
        </w:rPr>
        <w:t></w:t>
      </w:r>
      <w:r>
        <w:t xml:space="preserve"> L’ensemble des lots</w:t>
      </w:r>
    </w:p>
    <w:p w14:paraId="1BA5C973" w14:textId="77777777" w:rsidR="0063567E" w:rsidRDefault="0031217D">
      <w:pPr>
        <w:pStyle w:val="RedaliaTitre2"/>
      </w:pPr>
      <w:bookmarkStart w:id="20" w:name="__RefHeading__22225_280481371"/>
      <w:r>
        <w:t>Dispositions relatives aux groupements</w:t>
      </w:r>
      <w:bookmarkEnd w:id="20"/>
    </w:p>
    <w:p w14:paraId="1BA5C974" w14:textId="77777777" w:rsidR="0063567E" w:rsidRDefault="0031217D">
      <w:pPr>
        <w:pStyle w:val="RedaliaNormal"/>
      </w:pPr>
      <w:r>
        <w:t>Le marché pourra être attribué à une seule entreprise ou à un groupement d’entreprises.</w:t>
      </w:r>
    </w:p>
    <w:p w14:paraId="1BA5C975" w14:textId="77777777" w:rsidR="0063567E" w:rsidRDefault="0031217D">
      <w:pPr>
        <w:pStyle w:val="RedaliaNormal"/>
      </w:pPr>
      <w:r>
        <w:t>Si le marché est attribué à un groupement conjoint, le mandataire conjoint sera solidaire de chacun des membres du groupement.</w:t>
      </w:r>
    </w:p>
    <w:p w14:paraId="1BA5C976" w14:textId="77777777" w:rsidR="0063567E" w:rsidRDefault="0063567E">
      <w:pPr>
        <w:pStyle w:val="RedaliaNormal"/>
      </w:pPr>
    </w:p>
    <w:p w14:paraId="1BA5C977" w14:textId="77777777" w:rsidR="0063567E" w:rsidRDefault="0031217D">
      <w:pPr>
        <w:pStyle w:val="RedaliaNormal"/>
      </w:pPr>
      <w:r>
        <w:t>Possibilité de présenter pour le marché plusieurs offres en agissant à la fois en qualité de candidats individuels et de membres d’un ou plusieurs groupements :</w:t>
      </w:r>
    </w:p>
    <w:p w14:paraId="1BA5C978" w14:textId="77777777" w:rsidR="0063567E" w:rsidRDefault="0031217D">
      <w:pPr>
        <w:pStyle w:val="RedaliaRetrait2avecpuce"/>
        <w:numPr>
          <w:ilvl w:val="0"/>
          <w:numId w:val="0"/>
        </w:numPr>
        <w:ind w:left="1701" w:hanging="567"/>
      </w:pPr>
      <w:r>
        <w:rPr>
          <w:rFonts w:ascii="Wingdings" w:eastAsia="Wingdings" w:hAnsi="Wingdings" w:cs="Wingdings"/>
          <w:szCs w:val="22"/>
        </w:rPr>
        <w:t></w:t>
      </w:r>
      <w:r>
        <w:t xml:space="preserve"> Oui</w:t>
      </w:r>
    </w:p>
    <w:p w14:paraId="1BA5C979" w14:textId="77777777" w:rsidR="0063567E" w:rsidRDefault="0031217D">
      <w:pPr>
        <w:pStyle w:val="RedaliaRetrait2avecpuce"/>
        <w:numPr>
          <w:ilvl w:val="0"/>
          <w:numId w:val="0"/>
        </w:numPr>
        <w:ind w:left="1701" w:hanging="567"/>
      </w:pPr>
      <w:r>
        <w:rPr>
          <w:rFonts w:ascii="Wingdings" w:eastAsia="Wingdings" w:hAnsi="Wingdings" w:cs="Wingdings"/>
          <w:szCs w:val="22"/>
        </w:rPr>
        <w:t></w:t>
      </w:r>
      <w:r>
        <w:t xml:space="preserve"> Non</w:t>
      </w:r>
    </w:p>
    <w:p w14:paraId="1BA5C97A" w14:textId="77777777" w:rsidR="0063567E" w:rsidRDefault="0031217D">
      <w:pPr>
        <w:pStyle w:val="RedaliaNormal"/>
      </w:pPr>
      <w:r>
        <w:t>Ou en qualité de membres de plusieurs groupements :</w:t>
      </w:r>
    </w:p>
    <w:p w14:paraId="1BA5C97B" w14:textId="77777777" w:rsidR="0063567E" w:rsidRDefault="0031217D">
      <w:pPr>
        <w:pStyle w:val="RedaliaRetrait2avecpuce"/>
        <w:numPr>
          <w:ilvl w:val="0"/>
          <w:numId w:val="0"/>
        </w:numPr>
        <w:ind w:left="1701" w:hanging="567"/>
      </w:pPr>
      <w:r>
        <w:rPr>
          <w:rFonts w:ascii="Wingdings" w:eastAsia="Wingdings" w:hAnsi="Wingdings" w:cs="Wingdings"/>
          <w:szCs w:val="22"/>
        </w:rPr>
        <w:t></w:t>
      </w:r>
      <w:r>
        <w:t xml:space="preserve"> Oui</w:t>
      </w:r>
    </w:p>
    <w:p w14:paraId="1BA5C97C" w14:textId="77777777" w:rsidR="0063567E" w:rsidRDefault="0031217D">
      <w:pPr>
        <w:pStyle w:val="RedaliaRetrait2avecpuce"/>
        <w:numPr>
          <w:ilvl w:val="0"/>
          <w:numId w:val="0"/>
        </w:numPr>
        <w:ind w:left="1701" w:hanging="567"/>
      </w:pPr>
      <w:r>
        <w:rPr>
          <w:rFonts w:ascii="Wingdings" w:eastAsia="Wingdings" w:hAnsi="Wingdings" w:cs="Wingdings"/>
          <w:szCs w:val="22"/>
        </w:rPr>
        <w:t></w:t>
      </w:r>
      <w:r>
        <w:t xml:space="preserve"> Non</w:t>
      </w:r>
    </w:p>
    <w:p w14:paraId="1BA5C97D" w14:textId="77777777" w:rsidR="0063567E" w:rsidRDefault="0031217D">
      <w:pPr>
        <w:pStyle w:val="RedaliaTitre2"/>
      </w:pPr>
      <w:bookmarkStart w:id="21" w:name="__RefHeading__22227_280481371"/>
      <w:bookmarkStart w:id="22" w:name="_Toc113959347"/>
      <w:bookmarkEnd w:id="4"/>
      <w:bookmarkEnd w:id="5"/>
      <w:bookmarkEnd w:id="6"/>
      <w:r>
        <w:t>Variantes</w:t>
      </w:r>
      <w:bookmarkEnd w:id="7"/>
      <w:bookmarkEnd w:id="21"/>
      <w:bookmarkEnd w:id="22"/>
    </w:p>
    <w:p w14:paraId="1BA5C97E" w14:textId="77777777" w:rsidR="0063567E" w:rsidRDefault="0031217D">
      <w:pPr>
        <w:pStyle w:val="RedaliaTitre3"/>
      </w:pPr>
      <w:r>
        <w:t>Variantes libres</w:t>
      </w:r>
    </w:p>
    <w:p w14:paraId="1BA5C97F" w14:textId="77777777" w:rsidR="0063567E" w:rsidRPr="009310BB" w:rsidRDefault="0031217D">
      <w:pPr>
        <w:pStyle w:val="RedaliaNormal"/>
      </w:pPr>
      <w:r w:rsidRPr="009310BB">
        <w:t>Dans le cadre de la présente consultation, le pouvoir adjudicateur impose aux candidats la remise d’une offre de base avec leur(s) offre(s) variante(s) libre(s).</w:t>
      </w:r>
    </w:p>
    <w:p w14:paraId="1BA5C980" w14:textId="77777777" w:rsidR="0063567E" w:rsidRPr="009310BB" w:rsidRDefault="0031217D">
      <w:pPr>
        <w:pStyle w:val="RedaliaNormal"/>
      </w:pPr>
      <w:r w:rsidRPr="009310BB">
        <w:t>La proposition de variante(s) libre(s) est autorisée pour le(s) seul(s) lot(s) suivant(s) et dans la limite des exigences minimales requises définies ci-dessous :</w:t>
      </w:r>
    </w:p>
    <w:p w14:paraId="1BA5C981" w14:textId="77777777" w:rsidR="0063567E" w:rsidRPr="009310BB" w:rsidRDefault="0031217D">
      <w:pPr>
        <w:pStyle w:val="RedaliaRetraitavecpuce"/>
      </w:pPr>
      <w:r w:rsidRPr="009310BB">
        <w:t>Lot n°02 : Fondations spéciales</w:t>
      </w:r>
    </w:p>
    <w:p w14:paraId="1BA5C983" w14:textId="77777777" w:rsidR="0063567E" w:rsidRPr="009A2750" w:rsidRDefault="0063567E">
      <w:pPr>
        <w:pStyle w:val="RedaliaNormal"/>
        <w:rPr>
          <w:color w:val="FF0000"/>
        </w:rPr>
      </w:pPr>
    </w:p>
    <w:p w14:paraId="1BA5C984" w14:textId="586A7CB9" w:rsidR="0063567E" w:rsidRPr="002837BF" w:rsidRDefault="0031217D">
      <w:pPr>
        <w:pStyle w:val="RedaliaNormal"/>
      </w:pPr>
      <w:r w:rsidRPr="00CF137A">
        <w:rPr>
          <w:i/>
          <w:iCs/>
          <w:u w:val="single"/>
        </w:rPr>
        <w:t>Exigences minimales requises</w:t>
      </w:r>
      <w:r w:rsidRPr="00CF137A">
        <w:t xml:space="preserve"> : </w:t>
      </w:r>
      <w:r w:rsidRPr="002837BF">
        <w:t>modification technologique pour réalisation des fondations spéciales</w:t>
      </w:r>
      <w:r w:rsidR="00CF137A" w:rsidRPr="002837BF">
        <w:t xml:space="preserve"> devra obtenir l’avis favorable du bureau d’étude de sol et du contrôleur technique</w:t>
      </w:r>
      <w:r w:rsidRPr="002837BF">
        <w:t>.</w:t>
      </w:r>
    </w:p>
    <w:p w14:paraId="1BA5C985" w14:textId="77777777" w:rsidR="0063567E" w:rsidRPr="009A2750" w:rsidRDefault="0063567E">
      <w:pPr>
        <w:pStyle w:val="RedaliaNormal"/>
        <w:rPr>
          <w:iCs/>
          <w:color w:val="FF0000"/>
        </w:rPr>
      </w:pPr>
    </w:p>
    <w:p w14:paraId="1BA5C986" w14:textId="77777777" w:rsidR="0063567E" w:rsidRPr="00AA6CF9" w:rsidRDefault="0031217D">
      <w:pPr>
        <w:pStyle w:val="RedaliaNormal"/>
      </w:pPr>
      <w:r w:rsidRPr="00AA6CF9">
        <w:rPr>
          <w:i/>
          <w:u w:val="single"/>
        </w:rPr>
        <w:t>Modalités de présentation des variantes libres</w:t>
      </w:r>
      <w:r w:rsidRPr="00AA6CF9">
        <w:t> :</w:t>
      </w:r>
    </w:p>
    <w:p w14:paraId="5FCADA39" w14:textId="0A979CD9" w:rsidR="003369CF" w:rsidRPr="00AA6CF9" w:rsidRDefault="0031217D">
      <w:pPr>
        <w:pStyle w:val="RedaliaNormal"/>
      </w:pPr>
      <w:r w:rsidRPr="00AA6CF9">
        <w:t>Les candidats doivent présenter une proposition entièrement conforme au dossier de consultation (solution de base).</w:t>
      </w:r>
    </w:p>
    <w:p w14:paraId="1BA5C988" w14:textId="77777777" w:rsidR="0063567E" w:rsidRPr="00AA6CF9" w:rsidRDefault="0031217D">
      <w:pPr>
        <w:pStyle w:val="RedaliaNormal"/>
      </w:pPr>
      <w:r w:rsidRPr="00AA6CF9">
        <w:t xml:space="preserve">La proposition de variante(s) libre(s) sera présentée dans un acte d’engagement distinct de </w:t>
      </w:r>
      <w:r w:rsidRPr="00AA6CF9">
        <w:lastRenderedPageBreak/>
        <w:t>celui de l’acte d’engagement de la solution de base sur lequel sera indiqué qu’il s’agit d’une proposition de variante(s) libre(s).</w:t>
      </w:r>
    </w:p>
    <w:p w14:paraId="1BA5C989" w14:textId="77777777" w:rsidR="0063567E" w:rsidRPr="00AA6CF9" w:rsidRDefault="0063567E">
      <w:pPr>
        <w:pStyle w:val="RedaliaNormal"/>
      </w:pPr>
    </w:p>
    <w:p w14:paraId="1BA5C98A" w14:textId="77777777" w:rsidR="0063567E" w:rsidRPr="00AA6CF9" w:rsidRDefault="0031217D">
      <w:pPr>
        <w:pStyle w:val="RedaliaNormal"/>
      </w:pPr>
      <w:r w:rsidRPr="00AA6CF9">
        <w:t xml:space="preserve">Les candidats présenteront un dossier général </w:t>
      </w:r>
      <w:r w:rsidRPr="00AA6CF9">
        <w:rPr>
          <w:i/>
          <w:iCs/>
        </w:rPr>
        <w:t>« Variantes »</w:t>
      </w:r>
      <w:r w:rsidRPr="00AA6CF9">
        <w:t xml:space="preserve"> comportant un sous-dossier particulier pour chaque variante limitée qu'ils proposent.</w:t>
      </w:r>
    </w:p>
    <w:p w14:paraId="1BA5C98B" w14:textId="77777777" w:rsidR="0063567E" w:rsidRPr="00AA6CF9" w:rsidRDefault="0031217D">
      <w:pPr>
        <w:pStyle w:val="RedaliaNormal"/>
      </w:pPr>
      <w:r w:rsidRPr="00AA6CF9">
        <w:t>Ils indiqueront, outre les répercussions de chaque variante sur le montant de leur offre de base les rectifications à apporter, éventuellement, au cahier des charges.</w:t>
      </w:r>
    </w:p>
    <w:p w14:paraId="1BA5C98C" w14:textId="77777777" w:rsidR="0063567E" w:rsidRPr="00AA6CF9" w:rsidRDefault="0063567E">
      <w:pPr>
        <w:pStyle w:val="RedaliaNormal"/>
      </w:pPr>
    </w:p>
    <w:p w14:paraId="1BA5C98D" w14:textId="77777777" w:rsidR="0063567E" w:rsidRPr="00AA6CF9" w:rsidRDefault="0031217D">
      <w:pPr>
        <w:pStyle w:val="RedaliaNormal"/>
      </w:pPr>
      <w:r w:rsidRPr="00AA6CF9">
        <w:t xml:space="preserve">Il est à noter que le pouvoir adjudicateur souhaite limiter le nombre de variante(s) libre(s) à </w:t>
      </w:r>
      <w:r w:rsidRPr="00AA6CF9">
        <w:rPr>
          <w:b/>
          <w:bCs/>
        </w:rPr>
        <w:t>2</w:t>
      </w:r>
      <w:r w:rsidRPr="00AA6CF9">
        <w:t xml:space="preserve"> maximum par candidat(s) et par lot(s).</w:t>
      </w:r>
    </w:p>
    <w:p w14:paraId="1BA5C98E" w14:textId="77777777" w:rsidR="0063567E" w:rsidRPr="00AA6CF9" w:rsidRDefault="0031217D">
      <w:pPr>
        <w:pStyle w:val="RedaliaNormal"/>
      </w:pPr>
      <w:r w:rsidRPr="00AA6CF9">
        <w:t>Si les offres contiennent un nombre de variantes supérieur à celui indiqué ci-dessus, aucune des variantes ne sera analysée.</w:t>
      </w:r>
    </w:p>
    <w:p w14:paraId="1BA5C98F" w14:textId="77777777" w:rsidR="0063567E" w:rsidRPr="00CF137A" w:rsidRDefault="0031217D">
      <w:pPr>
        <w:pStyle w:val="RedaliaTitre2"/>
      </w:pPr>
      <w:bookmarkStart w:id="23" w:name="__RefHeading__22229_280481371"/>
      <w:bookmarkStart w:id="24" w:name="_Toc113959348"/>
      <w:r w:rsidRPr="00CF137A">
        <w:t>PSE – Prestations supplémentaires éventuelles</w:t>
      </w:r>
      <w:bookmarkEnd w:id="23"/>
      <w:bookmarkEnd w:id="24"/>
    </w:p>
    <w:p w14:paraId="1BA5C990" w14:textId="364AC9A7" w:rsidR="0063567E" w:rsidRPr="00CF137A" w:rsidRDefault="0031217D">
      <w:pPr>
        <w:pStyle w:val="RedaliaNormal"/>
      </w:pPr>
      <w:r w:rsidRPr="00CF137A">
        <w:t>Les lots de consultation suivants comportent une ou plusieurs PSE définies dans le DCE :</w:t>
      </w:r>
    </w:p>
    <w:p w14:paraId="1BA5C991" w14:textId="77777777" w:rsidR="0063567E" w:rsidRPr="00CF137A" w:rsidRDefault="0063567E">
      <w:pPr>
        <w:pStyle w:val="RedaliaNormal"/>
      </w:pPr>
    </w:p>
    <w:p w14:paraId="1BA5C992" w14:textId="77777777" w:rsidR="0063567E" w:rsidRPr="00CF137A" w:rsidRDefault="0031217D">
      <w:pPr>
        <w:pStyle w:val="RedaliaRetraitavecpuce"/>
      </w:pPr>
      <w:r w:rsidRPr="00CF137A">
        <w:t>Lot n 01 – Terrassement - VRD - aménagement :</w:t>
      </w:r>
    </w:p>
    <w:p w14:paraId="1BA5C993" w14:textId="062511F0" w:rsidR="0063567E" w:rsidRPr="00CF137A" w:rsidRDefault="0031217D">
      <w:pPr>
        <w:pStyle w:val="RdaliaRetraitniveau2"/>
        <w:numPr>
          <w:ilvl w:val="0"/>
          <w:numId w:val="14"/>
        </w:numPr>
      </w:pPr>
      <w:r w:rsidRPr="00CF137A">
        <w:t xml:space="preserve">PSE n°1 – Objet : Cloutage </w:t>
      </w:r>
    </w:p>
    <w:p w14:paraId="1BA5C994" w14:textId="77777777" w:rsidR="0063567E" w:rsidRPr="00CF137A" w:rsidRDefault="0031217D">
      <w:pPr>
        <w:pStyle w:val="RdaliaRetraitniveau2"/>
      </w:pPr>
      <w:r w:rsidRPr="00CF137A">
        <w:t>PSE n°2 – Objet : Suppression d'une travée (remise 2)</w:t>
      </w:r>
    </w:p>
    <w:p w14:paraId="5092576C" w14:textId="77777777" w:rsidR="009F3875" w:rsidRPr="00CF137A" w:rsidRDefault="009F3875" w:rsidP="009F3875">
      <w:pPr>
        <w:pStyle w:val="RdaliaRetraitniveau2"/>
        <w:numPr>
          <w:ilvl w:val="0"/>
          <w:numId w:val="0"/>
        </w:numPr>
        <w:ind w:left="1060" w:hanging="360"/>
      </w:pPr>
    </w:p>
    <w:p w14:paraId="1AD6FD4F" w14:textId="303F99DA" w:rsidR="009F3875" w:rsidRPr="00CF137A" w:rsidRDefault="009F3875" w:rsidP="009F3875">
      <w:pPr>
        <w:pStyle w:val="RedaliaRetraitavecpuce"/>
        <w:numPr>
          <w:ilvl w:val="0"/>
          <w:numId w:val="15"/>
        </w:numPr>
      </w:pPr>
      <w:r w:rsidRPr="00CF137A">
        <w:t>Lot n 02 – Fondations spéciales :</w:t>
      </w:r>
    </w:p>
    <w:p w14:paraId="44C07D97" w14:textId="16821151" w:rsidR="009F3875" w:rsidRPr="00CF137A" w:rsidRDefault="009F3875" w:rsidP="009F3875">
      <w:pPr>
        <w:pStyle w:val="RdaliaRetraitniveau2"/>
        <w:numPr>
          <w:ilvl w:val="0"/>
          <w:numId w:val="16"/>
        </w:numPr>
      </w:pPr>
      <w:r w:rsidRPr="00CF137A">
        <w:t>PSE n°</w:t>
      </w:r>
      <w:r w:rsidR="002F4F2A" w:rsidRPr="00CF137A">
        <w:t>2</w:t>
      </w:r>
      <w:r w:rsidRPr="00CF137A">
        <w:t xml:space="preserve"> – Objet : Suppression d'une travée (remise 2)</w:t>
      </w:r>
    </w:p>
    <w:p w14:paraId="1BA5C995" w14:textId="77777777" w:rsidR="0063567E" w:rsidRPr="00CF137A" w:rsidRDefault="0063567E">
      <w:pPr>
        <w:pStyle w:val="RedaliaNormal"/>
      </w:pPr>
    </w:p>
    <w:p w14:paraId="1BA5C996" w14:textId="77777777" w:rsidR="0063567E" w:rsidRPr="00CF137A" w:rsidRDefault="0031217D">
      <w:pPr>
        <w:pStyle w:val="RedaliaRetraitavecpuce"/>
        <w:numPr>
          <w:ilvl w:val="0"/>
          <w:numId w:val="15"/>
        </w:numPr>
      </w:pPr>
      <w:r w:rsidRPr="00CF137A">
        <w:t xml:space="preserve">Lot n 03 – Gros </w:t>
      </w:r>
      <w:proofErr w:type="spellStart"/>
      <w:r w:rsidRPr="00CF137A">
        <w:t>oeuvre</w:t>
      </w:r>
      <w:proofErr w:type="spellEnd"/>
      <w:r w:rsidRPr="00CF137A">
        <w:t> :</w:t>
      </w:r>
    </w:p>
    <w:p w14:paraId="1BA5C997" w14:textId="050D01F0" w:rsidR="0063567E" w:rsidRPr="00CF137A" w:rsidRDefault="0031217D">
      <w:pPr>
        <w:pStyle w:val="RdaliaRetraitniveau2"/>
        <w:numPr>
          <w:ilvl w:val="0"/>
          <w:numId w:val="16"/>
        </w:numPr>
      </w:pPr>
      <w:r w:rsidRPr="00CF137A">
        <w:t>PSE n°</w:t>
      </w:r>
      <w:r w:rsidR="002F4F2A" w:rsidRPr="00CF137A">
        <w:t>2</w:t>
      </w:r>
      <w:r w:rsidRPr="00CF137A">
        <w:t xml:space="preserve"> – Objet : Suppression d'une travée (remise 2)</w:t>
      </w:r>
    </w:p>
    <w:p w14:paraId="1BA5C998" w14:textId="77777777" w:rsidR="0063567E" w:rsidRPr="00CF137A" w:rsidRDefault="0063567E">
      <w:pPr>
        <w:pStyle w:val="RedaliaNormal"/>
      </w:pPr>
    </w:p>
    <w:p w14:paraId="1BA5C999" w14:textId="77777777" w:rsidR="0063567E" w:rsidRPr="00CF137A" w:rsidRDefault="0031217D">
      <w:pPr>
        <w:pStyle w:val="RedaliaRetraitavecpuce"/>
        <w:numPr>
          <w:ilvl w:val="0"/>
          <w:numId w:val="17"/>
        </w:numPr>
      </w:pPr>
      <w:r w:rsidRPr="00CF137A">
        <w:t>Lot n 04 – Charpente bois - façade bois :</w:t>
      </w:r>
    </w:p>
    <w:p w14:paraId="1BA5C99A" w14:textId="05B50E6A" w:rsidR="0063567E" w:rsidRPr="00CF137A" w:rsidRDefault="0031217D">
      <w:pPr>
        <w:pStyle w:val="RdaliaRetraitniveau2"/>
        <w:numPr>
          <w:ilvl w:val="0"/>
          <w:numId w:val="18"/>
        </w:numPr>
      </w:pPr>
      <w:r w:rsidRPr="00CF137A">
        <w:t>PSE n°</w:t>
      </w:r>
      <w:r w:rsidR="002F4F2A" w:rsidRPr="00CF137A">
        <w:t>2</w:t>
      </w:r>
      <w:r w:rsidRPr="00CF137A">
        <w:t xml:space="preserve"> – Objet : Suppression d'une travée (remise 2)</w:t>
      </w:r>
    </w:p>
    <w:p w14:paraId="1BA5C99B" w14:textId="77777777" w:rsidR="0063567E" w:rsidRPr="00CF137A" w:rsidRDefault="0063567E">
      <w:pPr>
        <w:pStyle w:val="RedaliaNormal"/>
      </w:pPr>
    </w:p>
    <w:p w14:paraId="1BA5C99C" w14:textId="77777777" w:rsidR="0063567E" w:rsidRPr="00CF137A" w:rsidRDefault="0031217D">
      <w:pPr>
        <w:pStyle w:val="RedaliaRetraitavecpuce"/>
        <w:numPr>
          <w:ilvl w:val="0"/>
          <w:numId w:val="19"/>
        </w:numPr>
      </w:pPr>
      <w:r w:rsidRPr="00CF137A">
        <w:t>Lot n 05 – Etanchéité :</w:t>
      </w:r>
    </w:p>
    <w:p w14:paraId="1BA5C99D" w14:textId="4D139E7E" w:rsidR="0063567E" w:rsidRPr="00CF137A" w:rsidRDefault="0031217D">
      <w:pPr>
        <w:pStyle w:val="RdaliaRetraitniveau2"/>
        <w:numPr>
          <w:ilvl w:val="0"/>
          <w:numId w:val="20"/>
        </w:numPr>
      </w:pPr>
      <w:r w:rsidRPr="00CF137A">
        <w:t>PSE n°</w:t>
      </w:r>
      <w:r w:rsidR="002F4F2A" w:rsidRPr="00CF137A">
        <w:t>2</w:t>
      </w:r>
      <w:r w:rsidRPr="00CF137A">
        <w:t xml:space="preserve"> – Objet : Suppression d'une travée (remise 2)</w:t>
      </w:r>
    </w:p>
    <w:p w14:paraId="1BA5C99E" w14:textId="77777777" w:rsidR="0063567E" w:rsidRPr="00CF137A" w:rsidRDefault="0063567E">
      <w:pPr>
        <w:pStyle w:val="RedaliaNormal"/>
      </w:pPr>
    </w:p>
    <w:p w14:paraId="1BA5C99F" w14:textId="77777777" w:rsidR="0063567E" w:rsidRPr="00CF137A" w:rsidRDefault="0031217D">
      <w:pPr>
        <w:pStyle w:val="RedaliaRetraitavecpuce"/>
        <w:numPr>
          <w:ilvl w:val="0"/>
          <w:numId w:val="21"/>
        </w:numPr>
      </w:pPr>
      <w:r w:rsidRPr="00CF137A">
        <w:t>Lot n 06 – Bardage :</w:t>
      </w:r>
    </w:p>
    <w:p w14:paraId="1BA5C9A0" w14:textId="0D241997" w:rsidR="0063567E" w:rsidRPr="00CF137A" w:rsidRDefault="0031217D">
      <w:pPr>
        <w:pStyle w:val="RdaliaRetraitniveau2"/>
        <w:numPr>
          <w:ilvl w:val="0"/>
          <w:numId w:val="22"/>
        </w:numPr>
      </w:pPr>
      <w:r w:rsidRPr="00CF137A">
        <w:t>PSE n°</w:t>
      </w:r>
      <w:r w:rsidR="002F4F2A" w:rsidRPr="00CF137A">
        <w:t>2</w:t>
      </w:r>
      <w:r w:rsidRPr="00CF137A">
        <w:t xml:space="preserve"> – Objet : Suppression d'une travée (remise 2)</w:t>
      </w:r>
    </w:p>
    <w:p w14:paraId="0084DBC9" w14:textId="556A2595" w:rsidR="003365CA" w:rsidRPr="00CF137A" w:rsidRDefault="003365CA">
      <w:pPr>
        <w:pStyle w:val="RdaliaRetraitniveau2"/>
        <w:numPr>
          <w:ilvl w:val="0"/>
          <w:numId w:val="22"/>
        </w:numPr>
      </w:pPr>
      <w:r w:rsidRPr="00CF137A">
        <w:t>PSE n°</w:t>
      </w:r>
      <w:r w:rsidR="002F4F2A" w:rsidRPr="00CF137A">
        <w:t>3</w:t>
      </w:r>
      <w:r w:rsidRPr="00CF137A">
        <w:t xml:space="preserve"> – Objet : Variante bardage</w:t>
      </w:r>
    </w:p>
    <w:p w14:paraId="7AC01E97" w14:textId="77777777" w:rsidR="002F4F2A" w:rsidRPr="00CF137A" w:rsidRDefault="002F4F2A" w:rsidP="002F4F2A">
      <w:pPr>
        <w:pStyle w:val="RdaliaRetraitniveau2"/>
        <w:numPr>
          <w:ilvl w:val="0"/>
          <w:numId w:val="0"/>
        </w:numPr>
        <w:ind w:left="1060"/>
      </w:pPr>
    </w:p>
    <w:p w14:paraId="6EA5A8E5" w14:textId="3479374D" w:rsidR="002F4F2A" w:rsidRPr="00CF137A" w:rsidRDefault="002F4F2A" w:rsidP="002F4F2A">
      <w:pPr>
        <w:pStyle w:val="RedaliaRetraitavecpuce"/>
        <w:numPr>
          <w:ilvl w:val="0"/>
          <w:numId w:val="21"/>
        </w:numPr>
      </w:pPr>
      <w:r w:rsidRPr="00CF137A">
        <w:t>Lot n 11 – Menuiseries intérieures :</w:t>
      </w:r>
    </w:p>
    <w:p w14:paraId="644D5E30" w14:textId="37D46A32" w:rsidR="002F4F2A" w:rsidRPr="00CF137A" w:rsidRDefault="002F4F2A" w:rsidP="002F4F2A">
      <w:pPr>
        <w:pStyle w:val="RdaliaRetraitniveau2"/>
        <w:numPr>
          <w:ilvl w:val="0"/>
          <w:numId w:val="22"/>
        </w:numPr>
      </w:pPr>
      <w:r w:rsidRPr="00CF137A">
        <w:t>PSE n°4 – Objet : Mur mobile supplémentaire salle multifonction</w:t>
      </w:r>
    </w:p>
    <w:p w14:paraId="0884EDDB" w14:textId="77777777" w:rsidR="002F4F2A" w:rsidRPr="00CF137A" w:rsidRDefault="002F4F2A" w:rsidP="002F4F2A">
      <w:pPr>
        <w:pStyle w:val="RdaliaRetraitniveau2"/>
        <w:numPr>
          <w:ilvl w:val="0"/>
          <w:numId w:val="0"/>
        </w:numPr>
        <w:ind w:left="1060"/>
      </w:pPr>
    </w:p>
    <w:p w14:paraId="1BA5C9A2" w14:textId="3A888829" w:rsidR="0063567E" w:rsidRPr="00CF137A" w:rsidRDefault="0031217D">
      <w:pPr>
        <w:pStyle w:val="RedaliaRetraitavecpuce"/>
        <w:numPr>
          <w:ilvl w:val="0"/>
          <w:numId w:val="23"/>
        </w:numPr>
      </w:pPr>
      <w:r w:rsidRPr="00CF137A">
        <w:t xml:space="preserve">Lot n 12 – </w:t>
      </w:r>
      <w:r w:rsidR="002F4F2A" w:rsidRPr="00CF137A">
        <w:t>É</w:t>
      </w:r>
      <w:r w:rsidRPr="00CF137A">
        <w:t>lectricité CFO CFA :</w:t>
      </w:r>
    </w:p>
    <w:p w14:paraId="1BA5C9A3" w14:textId="31C429FB" w:rsidR="0063567E" w:rsidRPr="00CF137A" w:rsidRDefault="0031217D">
      <w:pPr>
        <w:pStyle w:val="RdaliaRetraitniveau2"/>
        <w:numPr>
          <w:ilvl w:val="0"/>
          <w:numId w:val="24"/>
        </w:numPr>
      </w:pPr>
      <w:r w:rsidRPr="00CF137A">
        <w:t>PSE n°</w:t>
      </w:r>
      <w:r w:rsidR="002F4F2A" w:rsidRPr="00CF137A">
        <w:t>2</w:t>
      </w:r>
      <w:r w:rsidRPr="00CF137A">
        <w:t xml:space="preserve"> – Objet : Suppression d'une travée (remise 2)</w:t>
      </w:r>
    </w:p>
    <w:p w14:paraId="1BA5C9A4" w14:textId="77777777" w:rsidR="0063567E" w:rsidRPr="00CF137A" w:rsidRDefault="0063567E">
      <w:pPr>
        <w:pStyle w:val="RedaliaNormal"/>
      </w:pPr>
    </w:p>
    <w:p w14:paraId="1BA5C9A5" w14:textId="77777777" w:rsidR="0063567E" w:rsidRPr="00CF137A" w:rsidRDefault="0031217D">
      <w:pPr>
        <w:pStyle w:val="RedaliaRetraitavecpuce"/>
        <w:numPr>
          <w:ilvl w:val="0"/>
          <w:numId w:val="25"/>
        </w:numPr>
      </w:pPr>
      <w:r w:rsidRPr="00CF137A">
        <w:t>Lot n 13 – Plomberie - CVC :</w:t>
      </w:r>
    </w:p>
    <w:p w14:paraId="1BA5C9A6" w14:textId="7398C367" w:rsidR="0063567E" w:rsidRDefault="0031217D">
      <w:pPr>
        <w:pStyle w:val="RdaliaRetraitniveau2"/>
        <w:numPr>
          <w:ilvl w:val="0"/>
          <w:numId w:val="26"/>
        </w:numPr>
      </w:pPr>
      <w:r w:rsidRPr="00CF137A">
        <w:t>PSE n°</w:t>
      </w:r>
      <w:r w:rsidR="002F4F2A" w:rsidRPr="00CF137A">
        <w:t>2</w:t>
      </w:r>
      <w:r w:rsidRPr="00CF137A">
        <w:t xml:space="preserve"> – Objet : Suppression d'une travée (remise 2)</w:t>
      </w:r>
    </w:p>
    <w:p w14:paraId="1BA5C9A8" w14:textId="77777777" w:rsidR="0063567E" w:rsidRPr="00CF137A" w:rsidRDefault="0063567E">
      <w:pPr>
        <w:pStyle w:val="RedaliaNormal"/>
      </w:pPr>
    </w:p>
    <w:p w14:paraId="1BA5C9A9" w14:textId="77777777" w:rsidR="0063567E" w:rsidRPr="00CF137A" w:rsidRDefault="0031217D">
      <w:pPr>
        <w:pStyle w:val="RedaliaRetraitavecpuce"/>
        <w:numPr>
          <w:ilvl w:val="0"/>
          <w:numId w:val="27"/>
        </w:numPr>
      </w:pPr>
      <w:r w:rsidRPr="00CF137A">
        <w:t>Lot n 17 – Portes sectionnelles :</w:t>
      </w:r>
    </w:p>
    <w:p w14:paraId="1BA5C9AA" w14:textId="36004651" w:rsidR="0063567E" w:rsidRPr="00CF137A" w:rsidRDefault="0031217D">
      <w:pPr>
        <w:pStyle w:val="RdaliaRetraitniveau2"/>
        <w:numPr>
          <w:ilvl w:val="0"/>
          <w:numId w:val="28"/>
        </w:numPr>
      </w:pPr>
      <w:r w:rsidRPr="00CF137A">
        <w:t>PSE n°</w:t>
      </w:r>
      <w:r w:rsidR="002F4F2A" w:rsidRPr="00CF137A">
        <w:t>2</w:t>
      </w:r>
      <w:r w:rsidRPr="00CF137A">
        <w:t xml:space="preserve"> – Objet : Suppression d'une travée (remise 2)</w:t>
      </w:r>
    </w:p>
    <w:p w14:paraId="1BA5C9AB" w14:textId="77777777" w:rsidR="0063567E" w:rsidRPr="00CF137A" w:rsidRDefault="0063567E">
      <w:pPr>
        <w:pStyle w:val="RedaliaNormal"/>
      </w:pPr>
    </w:p>
    <w:p w14:paraId="1BA5C9AC" w14:textId="77777777" w:rsidR="0063567E" w:rsidRPr="00CF137A" w:rsidRDefault="0031217D">
      <w:pPr>
        <w:pStyle w:val="RedaliaNormal"/>
      </w:pPr>
      <w:r w:rsidRPr="00CF137A">
        <w:t>Il importe d’attirer l'attention des candidats sur le fait que la ou les PSE sont obligatoires.</w:t>
      </w:r>
    </w:p>
    <w:p w14:paraId="1BA5C9AD" w14:textId="77777777" w:rsidR="0063567E" w:rsidRPr="00CF137A" w:rsidRDefault="0031217D">
      <w:pPr>
        <w:pStyle w:val="RedaliaNormal"/>
      </w:pPr>
      <w:r w:rsidRPr="00CF137A">
        <w:t>Ainsi, ils ont l'obligation de répondre à toutes les PSE dans leur offre.</w:t>
      </w:r>
    </w:p>
    <w:p w14:paraId="1BA5C9AE" w14:textId="77777777" w:rsidR="0063567E" w:rsidRPr="00B347AE" w:rsidRDefault="0031217D">
      <w:pPr>
        <w:pStyle w:val="RedaliaTitre2"/>
      </w:pPr>
      <w:bookmarkStart w:id="25" w:name="__RefHeading__22231_280481371"/>
      <w:r w:rsidRPr="00B347AE">
        <w:t>Modification de détail au dossier de consultation</w:t>
      </w:r>
      <w:bookmarkEnd w:id="25"/>
    </w:p>
    <w:p w14:paraId="1BA5C9AF" w14:textId="77777777" w:rsidR="0063567E" w:rsidRPr="00B347AE" w:rsidRDefault="0031217D">
      <w:pPr>
        <w:pStyle w:val="RedaliaNormal"/>
      </w:pPr>
      <w:r w:rsidRPr="00B347AE">
        <w:t>Le pouvoir adjudicateur se réserve le droit d'apporter au plus tard 6 jours avant la date limite fixée pour la réception des offres, des modifications de détail au dossier de consultation. Les candidats devront alors répondre sur la base du dossier modifié sans pouvoir élever aucune réclamation à ce sujet.</w:t>
      </w:r>
    </w:p>
    <w:p w14:paraId="1BA5C9B0" w14:textId="77777777" w:rsidR="0063567E" w:rsidRPr="00B347AE" w:rsidRDefault="0031217D">
      <w:pPr>
        <w:pStyle w:val="RedaliaNormal"/>
      </w:pPr>
      <w:r w:rsidRPr="00B347AE">
        <w:t>Si pendant l'étude du dossier par les candidats la date limite ci-dessus est reportée, la disposition précédente est applicable en fonction de cette nouvelle date.</w:t>
      </w:r>
    </w:p>
    <w:p w14:paraId="1BA5C9B1" w14:textId="77777777" w:rsidR="0063567E" w:rsidRPr="00B347AE" w:rsidRDefault="0031217D">
      <w:pPr>
        <w:pStyle w:val="RedaliaTitre2"/>
      </w:pPr>
      <w:bookmarkStart w:id="26" w:name="__RefHeading__22233_280481371"/>
      <w:bookmarkStart w:id="27" w:name="_Toc113959349"/>
      <w:r w:rsidRPr="00B347AE">
        <w:t>Délai de validité des offres</w:t>
      </w:r>
      <w:bookmarkEnd w:id="8"/>
      <w:bookmarkEnd w:id="26"/>
      <w:bookmarkEnd w:id="27"/>
    </w:p>
    <w:p w14:paraId="1BA5C9B2" w14:textId="77777777" w:rsidR="0063567E" w:rsidRPr="00B347AE" w:rsidRDefault="0031217D">
      <w:pPr>
        <w:pStyle w:val="RedaliaNormal"/>
      </w:pPr>
      <w:r w:rsidRPr="00B347AE">
        <w:t>Le délai de validité des offres est de 120 jours à compter de la date limite de remise de l’offre finale.</w:t>
      </w:r>
    </w:p>
    <w:p w14:paraId="1BA5C9B3" w14:textId="77777777" w:rsidR="0063567E" w:rsidRPr="00B347AE" w:rsidRDefault="0031217D">
      <w:pPr>
        <w:pStyle w:val="RedaliaTitre1"/>
      </w:pPr>
      <w:bookmarkStart w:id="28" w:name="__RefHeading__22235_280481371"/>
      <w:bookmarkStart w:id="29" w:name="_Toc113959351"/>
      <w:r w:rsidRPr="00B347AE">
        <w:t>Contenu du dossier de consultation</w:t>
      </w:r>
      <w:bookmarkEnd w:id="28"/>
      <w:bookmarkEnd w:id="29"/>
    </w:p>
    <w:p w14:paraId="1BA5C9B4" w14:textId="77777777" w:rsidR="0063567E" w:rsidRPr="00B347AE" w:rsidRDefault="0031217D">
      <w:pPr>
        <w:pStyle w:val="RedaliaNormal"/>
      </w:pPr>
      <w:r w:rsidRPr="00B347AE">
        <w:t>Le dossier de consultation comprend les pièces suivantes :</w:t>
      </w:r>
    </w:p>
    <w:p w14:paraId="5193566D" w14:textId="77777777" w:rsidR="006977ED" w:rsidRDefault="00892748">
      <w:pPr>
        <w:pStyle w:val="RedaliaRetraitavecpuce"/>
        <w:numPr>
          <w:ilvl w:val="0"/>
          <w:numId w:val="29"/>
        </w:numPr>
        <w:rPr>
          <w:color w:val="000000" w:themeColor="text1"/>
        </w:rPr>
      </w:pPr>
      <w:r>
        <w:rPr>
          <w:color w:val="000000" w:themeColor="text1"/>
        </w:rPr>
        <w:t>Les pièces administratives (RC, CCAP, AE, annexes</w:t>
      </w:r>
      <w:r w:rsidR="006977ED">
        <w:rPr>
          <w:color w:val="000000" w:themeColor="text1"/>
        </w:rPr>
        <w:t>)</w:t>
      </w:r>
    </w:p>
    <w:p w14:paraId="1BA5C9B7" w14:textId="3D67F44E" w:rsidR="0063567E" w:rsidRDefault="0031217D">
      <w:pPr>
        <w:pStyle w:val="RedaliaRetraitavecpuce"/>
        <w:rPr>
          <w:color w:val="000000" w:themeColor="text1"/>
        </w:rPr>
      </w:pPr>
      <w:r w:rsidRPr="00680640">
        <w:rPr>
          <w:color w:val="000000" w:themeColor="text1"/>
        </w:rPr>
        <w:t>L</w:t>
      </w:r>
      <w:r w:rsidR="006977ED">
        <w:rPr>
          <w:color w:val="000000" w:themeColor="text1"/>
        </w:rPr>
        <w:t>es pièces techniques</w:t>
      </w:r>
      <w:r w:rsidR="004E1C5C">
        <w:rPr>
          <w:color w:val="000000" w:themeColor="text1"/>
        </w:rPr>
        <w:t xml:space="preserve"> (CCTP, DPGF, annexes)</w:t>
      </w:r>
    </w:p>
    <w:p w14:paraId="7334A2A6" w14:textId="77777777" w:rsidR="00CD3DFC" w:rsidRPr="00603BFD" w:rsidRDefault="00B347AE">
      <w:pPr>
        <w:pStyle w:val="RedaliaRetraitavecpuce"/>
        <w:rPr>
          <w:color w:val="000000" w:themeColor="text1"/>
        </w:rPr>
      </w:pPr>
      <w:r w:rsidRPr="00603BFD">
        <w:rPr>
          <w:color w:val="000000" w:themeColor="text1"/>
        </w:rPr>
        <w:t>Le</w:t>
      </w:r>
      <w:r w:rsidR="00CD3DFC" w:rsidRPr="00603BFD">
        <w:rPr>
          <w:color w:val="000000" w:themeColor="text1"/>
        </w:rPr>
        <w:t>s pièces architectes (PRO)</w:t>
      </w:r>
    </w:p>
    <w:p w14:paraId="4EC6B3BC" w14:textId="6999AC44" w:rsidR="00E7267B" w:rsidRPr="00603BFD" w:rsidRDefault="00E7267B">
      <w:pPr>
        <w:pStyle w:val="RedaliaRetraitavecpuce"/>
        <w:rPr>
          <w:color w:val="000000" w:themeColor="text1"/>
        </w:rPr>
      </w:pPr>
      <w:r w:rsidRPr="00603BFD">
        <w:rPr>
          <w:color w:val="000000" w:themeColor="text1"/>
        </w:rPr>
        <w:t>Les pièces « bureau d’étude »</w:t>
      </w:r>
      <w:r w:rsidR="00B347AE" w:rsidRPr="00603BFD">
        <w:rPr>
          <w:color w:val="000000" w:themeColor="text1"/>
        </w:rPr>
        <w:t xml:space="preserve"> </w:t>
      </w:r>
      <w:r w:rsidRPr="00603BFD">
        <w:rPr>
          <w:color w:val="000000" w:themeColor="text1"/>
        </w:rPr>
        <w:t>(AREA, LES BIENTISSEURS, plans)</w:t>
      </w:r>
    </w:p>
    <w:p w14:paraId="27A5394C" w14:textId="4D2E38C8" w:rsidR="00E7267B" w:rsidRPr="00603BFD" w:rsidRDefault="00F43BE9">
      <w:pPr>
        <w:pStyle w:val="RedaliaRetraitavecpuce"/>
        <w:rPr>
          <w:color w:val="000000" w:themeColor="text1"/>
        </w:rPr>
      </w:pPr>
      <w:r w:rsidRPr="00603BFD">
        <w:rPr>
          <w:color w:val="000000" w:themeColor="text1"/>
        </w:rPr>
        <w:t>Les contrôles certification</w:t>
      </w:r>
      <w:r w:rsidR="00723456" w:rsidRPr="00603BFD">
        <w:rPr>
          <w:color w:val="000000" w:themeColor="text1"/>
        </w:rPr>
        <w:t xml:space="preserve"> (contrôle technique, PGC, </w:t>
      </w:r>
      <w:r w:rsidR="00EB421B" w:rsidRPr="00603BFD">
        <w:rPr>
          <w:color w:val="000000" w:themeColor="text1"/>
        </w:rPr>
        <w:t xml:space="preserve">certification </w:t>
      </w:r>
      <w:r w:rsidR="00603BFD" w:rsidRPr="00603BFD">
        <w:rPr>
          <w:color w:val="000000" w:themeColor="text1"/>
        </w:rPr>
        <w:t xml:space="preserve">bâtiment </w:t>
      </w:r>
      <w:r w:rsidR="00EB421B" w:rsidRPr="00603BFD">
        <w:rPr>
          <w:color w:val="000000" w:themeColor="text1"/>
        </w:rPr>
        <w:t>passi</w:t>
      </w:r>
      <w:r w:rsidR="00603BFD" w:rsidRPr="00603BFD">
        <w:rPr>
          <w:color w:val="000000" w:themeColor="text1"/>
        </w:rPr>
        <w:t>f)</w:t>
      </w:r>
    </w:p>
    <w:p w14:paraId="3A3BA2F1" w14:textId="77777777" w:rsidR="00B347AE" w:rsidRPr="00B347AE" w:rsidRDefault="00B347AE" w:rsidP="00603BFD">
      <w:pPr>
        <w:pStyle w:val="RedaliaRetraitavecpuce"/>
        <w:numPr>
          <w:ilvl w:val="0"/>
          <w:numId w:val="0"/>
        </w:numPr>
      </w:pPr>
    </w:p>
    <w:p w14:paraId="1BA5C9C0" w14:textId="77777777" w:rsidR="0063567E" w:rsidRPr="00B347AE" w:rsidRDefault="0031217D">
      <w:pPr>
        <w:pStyle w:val="RedaliaTitre1"/>
      </w:pPr>
      <w:bookmarkStart w:id="30" w:name="__RefHeading__22237_280481371"/>
      <w:bookmarkStart w:id="31" w:name="_Toc113959352"/>
      <w:r w:rsidRPr="00B347AE">
        <w:t>Retrait du dossier de consultation</w:t>
      </w:r>
      <w:bookmarkEnd w:id="30"/>
      <w:bookmarkEnd w:id="31"/>
    </w:p>
    <w:p w14:paraId="1BA5C9C1" w14:textId="77777777" w:rsidR="0063567E" w:rsidRPr="00B347AE" w:rsidRDefault="0031217D">
      <w:pPr>
        <w:pStyle w:val="RedaliaNormal"/>
      </w:pPr>
      <w:r w:rsidRPr="00B347AE">
        <w:t>Le pouvoir adjudicateur informe les candidats que le dossier de consultation est dématérialisé.</w:t>
      </w:r>
    </w:p>
    <w:p w14:paraId="1BA5C9C2" w14:textId="77777777" w:rsidR="0063567E" w:rsidRPr="00B347AE" w:rsidRDefault="0031217D">
      <w:pPr>
        <w:pStyle w:val="RedaliaNormal"/>
      </w:pPr>
      <w:r w:rsidRPr="00B347AE">
        <w:t>Le Dossier de Consultation des Entreprises (DCE) peut être consulté et téléchargé gratuitement à l’adresse suivante :</w:t>
      </w:r>
    </w:p>
    <w:p w14:paraId="1BA5C9C3" w14:textId="6F87555C" w:rsidR="0063567E" w:rsidRPr="00B347AE" w:rsidRDefault="0031217D">
      <w:pPr>
        <w:pStyle w:val="RedaliaNormal"/>
        <w:jc w:val="center"/>
      </w:pPr>
      <w:r w:rsidRPr="00B347AE">
        <w:t>http://</w:t>
      </w:r>
      <w:r w:rsidR="00B347AE" w:rsidRPr="00B347AE">
        <w:t>www.klekoon.com</w:t>
      </w:r>
      <w:r w:rsidRPr="00B347AE">
        <w:t>.</w:t>
      </w:r>
    </w:p>
    <w:p w14:paraId="1BA5C9C4" w14:textId="77777777" w:rsidR="0063567E" w:rsidRPr="00B347AE" w:rsidRDefault="0063567E">
      <w:pPr>
        <w:pStyle w:val="RedaliaNormal"/>
      </w:pPr>
    </w:p>
    <w:p w14:paraId="1BA5C9C5" w14:textId="77777777" w:rsidR="0063567E" w:rsidRPr="00B347AE" w:rsidRDefault="0031217D">
      <w:pPr>
        <w:pStyle w:val="RedaliaNormal"/>
      </w:pPr>
      <w:r w:rsidRPr="00B347AE">
        <w:t>Afin de pouvoir décompresser et lire les documents mis à disposition par le pouvoir adjudicateur, les opérateurs économiques devront disposer des logiciels permettant de lire les formats suivants :</w:t>
      </w:r>
    </w:p>
    <w:p w14:paraId="1BA5C9C6" w14:textId="77777777" w:rsidR="0063567E" w:rsidRPr="00B347AE" w:rsidRDefault="0031217D">
      <w:pPr>
        <w:pStyle w:val="RedaliaRetraitavecpuce"/>
      </w:pPr>
      <w:r w:rsidRPr="00B347AE">
        <w:t xml:space="preserve">Fichiers compressés au standard *.zip (lisibles par </w:t>
      </w:r>
      <w:proofErr w:type="spellStart"/>
      <w:r w:rsidRPr="00B347AE">
        <w:t>Winzip</w:t>
      </w:r>
      <w:proofErr w:type="spellEnd"/>
      <w:r w:rsidRPr="00B347AE">
        <w:t xml:space="preserve">, </w:t>
      </w:r>
      <w:proofErr w:type="spellStart"/>
      <w:r w:rsidRPr="00B347AE">
        <w:t>Quickzip</w:t>
      </w:r>
      <w:proofErr w:type="spellEnd"/>
      <w:r w:rsidRPr="00B347AE">
        <w:t>) ;</w:t>
      </w:r>
    </w:p>
    <w:p w14:paraId="1BA5C9C7" w14:textId="77777777" w:rsidR="0063567E" w:rsidRPr="00B347AE" w:rsidRDefault="0031217D">
      <w:pPr>
        <w:pStyle w:val="RedaliaRetraitavecpuce"/>
      </w:pPr>
      <w:r w:rsidRPr="00B347AE">
        <w:t>Adobe® Acrobat® *.</w:t>
      </w:r>
      <w:proofErr w:type="spellStart"/>
      <w:r w:rsidRPr="00B347AE">
        <w:t>pdf</w:t>
      </w:r>
      <w:proofErr w:type="spellEnd"/>
      <w:r w:rsidRPr="00B347AE">
        <w:t xml:space="preserve"> (lisibles par le logiciel Adobe Reader) ;</w:t>
      </w:r>
    </w:p>
    <w:p w14:paraId="1BA5C9C8" w14:textId="77777777" w:rsidR="0063567E" w:rsidRPr="00B347AE" w:rsidRDefault="0031217D">
      <w:pPr>
        <w:pStyle w:val="RedaliaRetraitavecpuce"/>
      </w:pPr>
      <w:r w:rsidRPr="00B347AE">
        <w:t>*.doc ou *.</w:t>
      </w:r>
      <w:proofErr w:type="spellStart"/>
      <w:r w:rsidRPr="00B347AE">
        <w:t>xls</w:t>
      </w:r>
      <w:proofErr w:type="spellEnd"/>
      <w:r w:rsidRPr="00B347AE">
        <w:t xml:space="preserve"> version 2000-2003 (lisibles par Microsoft Office ou OpenOffice) ;</w:t>
      </w:r>
    </w:p>
    <w:p w14:paraId="1BA5C9C9" w14:textId="77777777" w:rsidR="0063567E" w:rsidRPr="00B347AE" w:rsidRDefault="0031217D">
      <w:pPr>
        <w:pStyle w:val="RedaliaRetraitavecpuce"/>
      </w:pPr>
      <w:r w:rsidRPr="00B347AE">
        <w:t xml:space="preserve">Rich </w:t>
      </w:r>
      <w:proofErr w:type="spellStart"/>
      <w:r w:rsidRPr="00B347AE">
        <w:t>Text</w:t>
      </w:r>
      <w:proofErr w:type="spellEnd"/>
      <w:r w:rsidRPr="00B347AE">
        <w:t xml:space="preserve"> Format *.</w:t>
      </w:r>
      <w:proofErr w:type="spellStart"/>
      <w:r w:rsidRPr="00B347AE">
        <w:t>rtf</w:t>
      </w:r>
      <w:proofErr w:type="spellEnd"/>
      <w:r w:rsidRPr="00B347AE">
        <w:t> ;</w:t>
      </w:r>
    </w:p>
    <w:p w14:paraId="1BA5C9CA" w14:textId="77777777" w:rsidR="0063567E" w:rsidRPr="00B347AE" w:rsidRDefault="0031217D">
      <w:pPr>
        <w:pStyle w:val="RedaliaRetraitavecpuce"/>
      </w:pPr>
      <w:r w:rsidRPr="00B347AE">
        <w:t xml:space="preserve">Le cas échéant, le format DWF (lisibles par les logiciels </w:t>
      </w:r>
      <w:proofErr w:type="spellStart"/>
      <w:r w:rsidRPr="00B347AE">
        <w:t>Autocad</w:t>
      </w:r>
      <w:proofErr w:type="spellEnd"/>
      <w:r w:rsidRPr="00B347AE">
        <w:t xml:space="preserve">, ou des visionneuses telles que Autodesk DWF </w:t>
      </w:r>
      <w:proofErr w:type="spellStart"/>
      <w:r w:rsidRPr="00B347AE">
        <w:t>viewer</w:t>
      </w:r>
      <w:proofErr w:type="spellEnd"/>
      <w:r w:rsidRPr="00B347AE">
        <w:t>…).</w:t>
      </w:r>
    </w:p>
    <w:p w14:paraId="1BA5C9CB" w14:textId="77777777" w:rsidR="0063567E" w:rsidRPr="00B347AE" w:rsidRDefault="0063567E">
      <w:pPr>
        <w:pStyle w:val="RedaliaNormal"/>
      </w:pPr>
    </w:p>
    <w:p w14:paraId="1BA5C9CC" w14:textId="77777777" w:rsidR="0063567E" w:rsidRDefault="0031217D">
      <w:pPr>
        <w:pStyle w:val="RedaliaNormal"/>
      </w:pPr>
      <w:r w:rsidRPr="00B347AE">
        <w:t>Lors du téléchargement du dossier de consultation, il est recommandé à l’entreprise de créer un compte sur la plateforme de dématérialisation où il renseignera notamment le nom de l’organisme soumissionnaire, et une adresse électronique afin de la tenir informée des modifications éventuelles intervenant en cours d’une procédure (ajout d’une pièce au DCE, envoi d’une liste de réponses aux questions reçues...).</w:t>
      </w:r>
    </w:p>
    <w:p w14:paraId="0FE0BFE0" w14:textId="77777777" w:rsidR="00887E51" w:rsidRPr="00B347AE" w:rsidRDefault="00887E51">
      <w:pPr>
        <w:pStyle w:val="RedaliaNormal"/>
      </w:pPr>
    </w:p>
    <w:p w14:paraId="1BA5C9CD" w14:textId="77777777" w:rsidR="0063567E" w:rsidRPr="00B347AE" w:rsidRDefault="0031217D">
      <w:pPr>
        <w:pStyle w:val="RedaliaNormal"/>
      </w:pPr>
      <w:r w:rsidRPr="00B347AE">
        <w:lastRenderedPageBreak/>
        <w:t>Le candidat est informé que seul l’exemplaire du dossier de consultation détenu par le pouvoir adjudicateur fait foi.</w:t>
      </w:r>
    </w:p>
    <w:p w14:paraId="1BA5C9CE" w14:textId="77777777" w:rsidR="0063567E" w:rsidRPr="00B347AE" w:rsidRDefault="0031217D">
      <w:pPr>
        <w:pStyle w:val="RedaliaTitre1"/>
      </w:pPr>
      <w:bookmarkStart w:id="32" w:name="__RefHeading__22239_280481371"/>
      <w:bookmarkStart w:id="33" w:name="_Toc113959353"/>
      <w:r w:rsidRPr="00B347AE">
        <w:t>Présentation des candidatures et des offres</w:t>
      </w:r>
      <w:bookmarkEnd w:id="32"/>
      <w:bookmarkEnd w:id="33"/>
    </w:p>
    <w:p w14:paraId="1BA5C9CF" w14:textId="77777777" w:rsidR="0063567E" w:rsidRDefault="0031217D">
      <w:pPr>
        <w:pStyle w:val="RedaliaNormal"/>
      </w:pPr>
      <w:r w:rsidRPr="00B347AE">
        <w:rPr>
          <w:b/>
          <w:bCs/>
          <w:u w:val="single"/>
        </w:rPr>
        <w:t>Les candidats auront à produire</w:t>
      </w:r>
      <w:r w:rsidRPr="00B347AE">
        <w:rPr>
          <w:b/>
          <w:bCs/>
        </w:rPr>
        <w:t xml:space="preserve"> les pièces ci-dessous définies rédigées en langue française</w:t>
      </w:r>
      <w:r w:rsidRPr="00B347AE">
        <w:t>.</w:t>
      </w:r>
    </w:p>
    <w:p w14:paraId="1BA5C9D0" w14:textId="77777777" w:rsidR="0063567E" w:rsidRPr="00B347AE" w:rsidRDefault="0031217D">
      <w:pPr>
        <w:pStyle w:val="RedaliaTitre2"/>
      </w:pPr>
      <w:bookmarkStart w:id="34" w:name="__RefHeading__22241_280481371"/>
      <w:r w:rsidRPr="00B347AE">
        <w:t>Éléments nécessaires à la sélection des candidatures</w:t>
      </w:r>
      <w:bookmarkEnd w:id="34"/>
    </w:p>
    <w:p w14:paraId="1BA5C9D1" w14:textId="77777777" w:rsidR="0063567E" w:rsidRPr="00B347AE" w:rsidRDefault="0031217D">
      <w:pPr>
        <w:pStyle w:val="RedaliaNormal"/>
      </w:pPr>
      <w:r w:rsidRPr="00B347AE">
        <w:t>Chaque candidat ou chaque membre de l’équipe candidate devra produire les pièces suivantes :</w:t>
      </w:r>
    </w:p>
    <w:p w14:paraId="1BA5C9D2" w14:textId="77777777" w:rsidR="0063567E" w:rsidRPr="00B347AE" w:rsidRDefault="0031217D">
      <w:pPr>
        <w:pStyle w:val="RedaliaTitre3"/>
      </w:pPr>
      <w:r w:rsidRPr="00B347AE">
        <w:t>Situation juridique</w:t>
      </w:r>
    </w:p>
    <w:p w14:paraId="1BA5C9D3" w14:textId="77777777" w:rsidR="0063567E" w:rsidRPr="00B347AE" w:rsidRDefault="0031217D">
      <w:pPr>
        <w:pStyle w:val="RedaliaRetraitavecpuce"/>
      </w:pPr>
      <w:r w:rsidRPr="00B347AE">
        <w:t xml:space="preserve"> Formulaire DC1 ou équivalent : Lettre de candidature - Habilitation du mandataire par ses cotraitants</w:t>
      </w:r>
    </w:p>
    <w:p w14:paraId="1BA5C9D4" w14:textId="77777777" w:rsidR="0063567E" w:rsidRDefault="0031217D">
      <w:pPr>
        <w:pStyle w:val="RedaliaRetraitavecpuce"/>
      </w:pPr>
      <w:r w:rsidRPr="00B347AE">
        <w:t xml:space="preserve"> Formulaire DC2 ou équivalent : Déclaration du candidat individuel ou du membre du groupement</w:t>
      </w:r>
    </w:p>
    <w:p w14:paraId="1A96639A" w14:textId="0AB16855" w:rsidR="00B347AE" w:rsidRPr="00B347AE" w:rsidRDefault="00B347AE" w:rsidP="00B347AE">
      <w:pPr>
        <w:pStyle w:val="RedaliaRetraitavecpuce"/>
        <w:numPr>
          <w:ilvl w:val="0"/>
          <w:numId w:val="0"/>
        </w:numPr>
        <w:ind w:left="720"/>
        <w:rPr>
          <w:u w:val="single"/>
        </w:rPr>
      </w:pPr>
      <w:proofErr w:type="gramStart"/>
      <w:r w:rsidRPr="00B347AE">
        <w:rPr>
          <w:u w:val="single"/>
        </w:rPr>
        <w:t>OU</w:t>
      </w:r>
      <w:proofErr w:type="gramEnd"/>
    </w:p>
    <w:p w14:paraId="1BA5C9D5" w14:textId="77777777" w:rsidR="0063567E" w:rsidRPr="00B347AE" w:rsidRDefault="0031217D">
      <w:pPr>
        <w:pStyle w:val="RedaliaRetraitavecpuce"/>
      </w:pPr>
      <w:r w:rsidRPr="00B347AE">
        <w:t xml:space="preserve"> D.U.M.E. : Document Unique des Marchés Européens (en lieu et place des formulaires DC1 et DC2)</w:t>
      </w:r>
    </w:p>
    <w:p w14:paraId="1BA5C9D6" w14:textId="77777777" w:rsidR="0063567E" w:rsidRPr="00E96024" w:rsidRDefault="0031217D">
      <w:pPr>
        <w:pStyle w:val="RedaliaTitre3"/>
      </w:pPr>
      <w:r w:rsidRPr="00E96024">
        <w:t>Capacité</w:t>
      </w:r>
    </w:p>
    <w:p w14:paraId="1BA5C9D7" w14:textId="77777777" w:rsidR="0063567E" w:rsidRPr="00E96024" w:rsidRDefault="0031217D">
      <w:pPr>
        <w:pStyle w:val="RedaliaRetraitavecpuce"/>
      </w:pPr>
      <w:r w:rsidRPr="00E96024">
        <w:t xml:space="preserve"> Déclaration de chiffre d'affaires : déclaration concernant le chiffre d'affaires global du candidat et le chiffre d'affaires du domaine d'activité faisant l'objet du marché public, portant au maximum sur les trois derniers exercices disponibles en fonction de la date de création de l'entreprise ou du début d'activité de l'opérateur économique.</w:t>
      </w:r>
    </w:p>
    <w:p w14:paraId="1BA5C9D8" w14:textId="10B7451E" w:rsidR="0063567E" w:rsidRPr="00E96024" w:rsidRDefault="0031217D">
      <w:pPr>
        <w:pStyle w:val="RedaliaRetraitavecpuce"/>
      </w:pPr>
      <w:r w:rsidRPr="00E96024">
        <w:t xml:space="preserve"> Attestation d'assurance : déclaration appropriée de banques ou preuve d'une assurance pour les risques professionnels</w:t>
      </w:r>
      <w:r w:rsidR="00E96024" w:rsidRPr="00E96024">
        <w:t>.</w:t>
      </w:r>
    </w:p>
    <w:p w14:paraId="533D5C54" w14:textId="77777777" w:rsidR="00F5112B" w:rsidRPr="00155DE8" w:rsidRDefault="0031217D" w:rsidP="00F5112B">
      <w:pPr>
        <w:pStyle w:val="RedaliaRetraitavecpuce"/>
        <w:rPr>
          <w:rFonts w:cs="Arial"/>
          <w:szCs w:val="22"/>
        </w:rPr>
      </w:pPr>
      <w:r w:rsidRPr="00E96024">
        <w:t xml:space="preserve"> Références de travaux similaires : une liste des travaux exécutés au cours des cinq dernières années, assortie d'attestations de bonne exécution pour les travaux les plus importants. Ces attestations indiquent le montant, l'époque et le lieu d'exécution des travaux et précisent s'ils ont été effectués selon les règles de l'art et menés </w:t>
      </w:r>
      <w:r w:rsidRPr="00155DE8">
        <w:rPr>
          <w:rFonts w:cs="Arial"/>
          <w:szCs w:val="22"/>
        </w:rPr>
        <w:t>régulièrement à bonne fin.</w:t>
      </w:r>
    </w:p>
    <w:p w14:paraId="57D8F16F" w14:textId="77777777" w:rsidR="00F5112B" w:rsidRDefault="00F5112B" w:rsidP="00F5112B">
      <w:pPr>
        <w:pStyle w:val="RedaliaRetraitavecpuce"/>
        <w:rPr>
          <w:rFonts w:cs="Arial"/>
          <w:szCs w:val="22"/>
        </w:rPr>
      </w:pPr>
      <w:r w:rsidRPr="00155DE8">
        <w:rPr>
          <w:rFonts w:cs="Arial"/>
          <w:szCs w:val="22"/>
        </w:rPr>
        <w:t xml:space="preserve">Déclaration indiquant l'outillage, le matériel et l'équipement technique dont le candidat dispose pour la réalisation du contrat </w:t>
      </w:r>
    </w:p>
    <w:p w14:paraId="029E2FE1" w14:textId="6C474529" w:rsidR="00F5112B" w:rsidRPr="00155DE8" w:rsidRDefault="00F5112B" w:rsidP="00155DE8">
      <w:pPr>
        <w:pStyle w:val="RedaliaRetraitavecpuce"/>
        <w:rPr>
          <w:rFonts w:cs="Arial"/>
          <w:szCs w:val="22"/>
        </w:rPr>
      </w:pPr>
      <w:r w:rsidRPr="00155DE8">
        <w:rPr>
          <w:rFonts w:cs="Arial"/>
          <w:szCs w:val="22"/>
        </w:rPr>
        <w:t xml:space="preserve">Déclaration indiquant les effectifs moyens annuels du candidat et l'importance du personnel d'encadrement pour chacune des trois dernières années </w:t>
      </w:r>
    </w:p>
    <w:p w14:paraId="1BA5C9DB" w14:textId="468617FC" w:rsidR="0063567E" w:rsidRPr="00F5112B" w:rsidRDefault="0063567E" w:rsidP="00F5112B">
      <w:pPr>
        <w:pStyle w:val="RedaliaRetraitavecpuce"/>
        <w:numPr>
          <w:ilvl w:val="0"/>
          <w:numId w:val="0"/>
        </w:numPr>
        <w:ind w:left="720"/>
        <w:rPr>
          <w:color w:val="FF0000"/>
          <w:highlight w:val="green"/>
        </w:rPr>
      </w:pPr>
    </w:p>
    <w:p w14:paraId="1BA5C9DC" w14:textId="77777777" w:rsidR="0063567E" w:rsidRPr="00E96024" w:rsidRDefault="0031217D">
      <w:pPr>
        <w:pStyle w:val="RedaliaNormal"/>
      </w:pPr>
      <w:r w:rsidRPr="00E96024">
        <w:t>Le candidat pourra prouver sa capacité par tout autre document considéré comme équivalent par le pouvoir adjudicateur s’il est objectivement dans l’impossibilité de produire l’un des renseignements demandés relatifs à sa capacité financière.</w:t>
      </w:r>
    </w:p>
    <w:p w14:paraId="1BA5C9DD" w14:textId="77777777" w:rsidR="0063567E" w:rsidRPr="00E96024" w:rsidRDefault="0063567E">
      <w:pPr>
        <w:pStyle w:val="RedaliaNormal"/>
      </w:pPr>
    </w:p>
    <w:p w14:paraId="1BA5C9DE" w14:textId="77777777" w:rsidR="0063567E" w:rsidRPr="00E96024" w:rsidRDefault="0031217D">
      <w:pPr>
        <w:pStyle w:val="RedaliaNormal"/>
      </w:pPr>
      <w:r w:rsidRPr="00E96024">
        <w:t>Si, pour justifier de ses capacités, le candidat souhaite faire prévaloir les capacités professionnelles, techniques et financières d’un autre intervenant quel qu’il soit (sous-traitant notamment), il devra produire les pièces relatives à cet intervenant visées au présent article ci-dessus. Il devra également justifier qu’il disposera des capacités de cet intervenant pour l’exécution du marché par un engagement écrit de l’intervenant.</w:t>
      </w:r>
    </w:p>
    <w:p w14:paraId="1BA5C9DF" w14:textId="77777777" w:rsidR="0063567E" w:rsidRPr="00E96024" w:rsidRDefault="0063567E">
      <w:pPr>
        <w:pStyle w:val="RedaliaNormal"/>
      </w:pPr>
    </w:p>
    <w:p w14:paraId="1BA5C9E0" w14:textId="77777777" w:rsidR="0063567E" w:rsidRPr="00E96024" w:rsidRDefault="0031217D">
      <w:pPr>
        <w:pStyle w:val="RedaliaNormal"/>
      </w:pPr>
      <w:r w:rsidRPr="00E96024">
        <w:t xml:space="preserve">En vertu de l’article R. 2143-16 du Code de la commande publique, dans le cadre de leur candidature, il est exigé que les candidats joignent une traduction en français aux éléments </w:t>
      </w:r>
      <w:r w:rsidRPr="00E96024">
        <w:lastRenderedPageBreak/>
        <w:t>rédigés dans une autre langue.</w:t>
      </w:r>
    </w:p>
    <w:p w14:paraId="1BA5C9E1" w14:textId="77777777" w:rsidR="0063567E" w:rsidRPr="00E96024" w:rsidRDefault="0063567E">
      <w:pPr>
        <w:pStyle w:val="RedaliaNormal"/>
      </w:pPr>
    </w:p>
    <w:p w14:paraId="1BA5C9E2" w14:textId="77777777" w:rsidR="0063567E" w:rsidRPr="00E96024" w:rsidRDefault="0031217D">
      <w:pPr>
        <w:pStyle w:val="RedaliaNormal"/>
      </w:pPr>
      <w:r w:rsidRPr="00E96024">
        <w:t>Il est porté à l’attention des candidats que, conformément aux dispositions de l’article R. 2143-13 du Code de la commande publique, ils ne sont pas tenus de fournir les documents justificatifs et moyens de preuve que l’acheteur peut obtenir directement par le biais :</w:t>
      </w:r>
    </w:p>
    <w:p w14:paraId="1BA5C9E3" w14:textId="77777777" w:rsidR="0063567E" w:rsidRPr="00E96024" w:rsidRDefault="0031217D">
      <w:pPr>
        <w:pStyle w:val="RedaliaRetraitavecpuce"/>
      </w:pPr>
      <w:r w:rsidRPr="00E96024">
        <w:t>D'un système électronique de mise à disposition d'informations administré par un organisme officiel à condition que l'accès à celui-ci soit gratuit et, le cas échéant, que figurent dans le dossier de candidature toutes les informations nécessaires à sa consultation ;</w:t>
      </w:r>
    </w:p>
    <w:p w14:paraId="1BA5C9E4" w14:textId="77777777" w:rsidR="0063567E" w:rsidRPr="00E96024" w:rsidRDefault="0031217D">
      <w:pPr>
        <w:pStyle w:val="RedaliaRetraitavecpuce"/>
      </w:pPr>
      <w:r w:rsidRPr="00E96024">
        <w:t>D'un espace de stockage numérique, à condition que figurent dans le dossier de candidature toutes les informations nécessaires à sa consultation et que l'accès à ceux-ci soit gratuit.</w:t>
      </w:r>
    </w:p>
    <w:p w14:paraId="1BA5C9E7" w14:textId="77777777" w:rsidR="0063567E" w:rsidRPr="009A2750" w:rsidRDefault="0063567E">
      <w:pPr>
        <w:pStyle w:val="RedaliaNormal"/>
        <w:rPr>
          <w:color w:val="FF0000"/>
        </w:rPr>
      </w:pPr>
    </w:p>
    <w:p w14:paraId="1BA5C9E8" w14:textId="77777777" w:rsidR="0063567E" w:rsidRPr="00E96024" w:rsidRDefault="0031217D">
      <w:pPr>
        <w:pStyle w:val="RedaliaNormal"/>
      </w:pPr>
      <w:r w:rsidRPr="00E96024">
        <w:t>De plus, conformément aux dispositions de l’article R. 2143-14 du Code de la commande publique, les candidats ne sont pas tenus de fournir au pouvoir adjudicateur les documents justificatifs et moyens de preuve qui ont déjà été transmis lors d'une précédente consultation et qui demeurent valables.</w:t>
      </w:r>
    </w:p>
    <w:p w14:paraId="1BA5C9E9" w14:textId="77777777" w:rsidR="0063567E" w:rsidRPr="00E96024" w:rsidRDefault="0063567E">
      <w:pPr>
        <w:pStyle w:val="RedaliaNormal"/>
      </w:pPr>
    </w:p>
    <w:p w14:paraId="1BA5C9EA" w14:textId="77777777" w:rsidR="0063567E" w:rsidRPr="00E96024" w:rsidRDefault="0031217D">
      <w:pPr>
        <w:pStyle w:val="RedaliaNormal"/>
      </w:pPr>
      <w:r w:rsidRPr="00E96024">
        <w:t>Enfin, selon les dispositions de l’article R. 2143-4 du Code de la commande publique, le pouvoir adjudicateur accepte que les candidats présentent leur candidature sous la forme d’un document unique de marché européen (DUME) établi conformément au modèle fixé par le règlement de la Commission européenne établissant le formulaire type pour le document unique de marché européen, en lieu et place de la déclaration sur l'honneur et des renseignements mentionnés à l'article R. 2143-3 du même code.</w:t>
      </w:r>
    </w:p>
    <w:p w14:paraId="1BA5C9EB" w14:textId="77777777" w:rsidR="0063567E" w:rsidRPr="00E96024" w:rsidRDefault="0031217D">
      <w:pPr>
        <w:pStyle w:val="RedaliaNormal"/>
      </w:pPr>
      <w:r w:rsidRPr="00E96024">
        <w:t xml:space="preserve">Les candidats peuvent constituer ou réutiliser un DUME dans sa version électronique via l’une des url suivantes : </w:t>
      </w:r>
      <w:hyperlink r:id="rId11" w:history="1">
        <w:r w:rsidRPr="00E96024">
          <w:rPr>
            <w:rStyle w:val="Lienhypertexte"/>
            <w:color w:val="auto"/>
          </w:rPr>
          <w:t>https://ec.europa.eu/tools/espd/</w:t>
        </w:r>
      </w:hyperlink>
      <w:r w:rsidRPr="00E96024">
        <w:t xml:space="preserve"> OU </w:t>
      </w:r>
      <w:hyperlink r:id="rId12" w:history="1">
        <w:r w:rsidRPr="00E96024">
          <w:rPr>
            <w:rStyle w:val="Lienhypertexte"/>
            <w:color w:val="auto"/>
          </w:rPr>
          <w:t>https://dume.chorus-pro.gouv.fr/</w:t>
        </w:r>
      </w:hyperlink>
    </w:p>
    <w:p w14:paraId="1BA5C9EC" w14:textId="77777777" w:rsidR="0063567E" w:rsidRPr="00E96024" w:rsidRDefault="0031217D">
      <w:pPr>
        <w:pStyle w:val="RedaliaNormal"/>
      </w:pPr>
      <w:r w:rsidRPr="00E96024">
        <w:t>Il est précisé que le pouvoir adjudicateur n’autorise pas les candidats à se limiter à indiquer dans le document unique de marché européen qu’ils disposent de l’aptitude et des capacités requises sans fournir d’informations particulières sur celles-ci.</w:t>
      </w:r>
    </w:p>
    <w:p w14:paraId="1BA5C9ED" w14:textId="77777777" w:rsidR="0063567E" w:rsidRPr="009A2750" w:rsidRDefault="0063567E">
      <w:pPr>
        <w:pStyle w:val="RedaliaNormal"/>
        <w:rPr>
          <w:color w:val="FF0000"/>
        </w:rPr>
      </w:pPr>
    </w:p>
    <w:p w14:paraId="1BA5C9EF" w14:textId="16D78350" w:rsidR="0063567E" w:rsidRPr="00E96024" w:rsidRDefault="0031217D">
      <w:pPr>
        <w:pStyle w:val="RedaliaNormal"/>
      </w:pPr>
      <w:r w:rsidRPr="00E96024">
        <w:rPr>
          <w:u w:val="single"/>
        </w:rPr>
        <w:t>Service DUME</w:t>
      </w:r>
      <w:r w:rsidRPr="00E96024">
        <w:t> :</w:t>
      </w:r>
    </w:p>
    <w:p w14:paraId="1BA5C9F0" w14:textId="77777777" w:rsidR="0063567E" w:rsidRPr="00E96024" w:rsidRDefault="0031217D">
      <w:pPr>
        <w:pStyle w:val="RedaliaNormal"/>
      </w:pPr>
      <w:r w:rsidRPr="00E96024">
        <w:t>Cette consultation est éligible au dispositif ‘Service DUME’ (</w:t>
      </w:r>
      <w:proofErr w:type="gramStart"/>
      <w:r w:rsidRPr="00E96024">
        <w:t>ex MPS</w:t>
      </w:r>
      <w:proofErr w:type="gramEnd"/>
      <w:r w:rsidRPr="00E96024">
        <w:t xml:space="preserve"> - Marché Public Simplifié) accessible sur l’url suivante : </w:t>
      </w:r>
      <w:hyperlink r:id="rId13" w:anchor="/" w:history="1">
        <w:r w:rsidRPr="00E96024">
          <w:rPr>
            <w:rStyle w:val="Lienhypertexte"/>
            <w:color w:val="auto"/>
          </w:rPr>
          <w:t>https://dume.chorus-pro.gouv.fr/#/</w:t>
        </w:r>
      </w:hyperlink>
    </w:p>
    <w:p w14:paraId="1BA5C9F1" w14:textId="77777777" w:rsidR="0063567E" w:rsidRPr="00E96024" w:rsidRDefault="0031217D">
      <w:pPr>
        <w:pStyle w:val="RedaliaNormal"/>
      </w:pPr>
      <w:r w:rsidRPr="00E96024">
        <w:t xml:space="preserve">Par ce dispositif, les candidats postuleront à la consultation par le biais d’un DUME (Document Unique de Marché Européen). Ce DUME sera </w:t>
      </w:r>
      <w:proofErr w:type="spellStart"/>
      <w:r w:rsidRPr="00E96024">
        <w:t>pré-rempli</w:t>
      </w:r>
      <w:proofErr w:type="spellEnd"/>
      <w:r w:rsidRPr="00E96024">
        <w:t xml:space="preserve"> sur la base du seul numéro SIRET et permettra :</w:t>
      </w:r>
    </w:p>
    <w:p w14:paraId="1BA5C9F2" w14:textId="77777777" w:rsidR="0063567E" w:rsidRPr="00E96024" w:rsidRDefault="0031217D">
      <w:pPr>
        <w:pStyle w:val="RedaliaRetraitavecpuce"/>
      </w:pPr>
      <w:r w:rsidRPr="00E96024">
        <w:t>De bénéficier d’une reprise des données légales de l’entreprise (raison sociale, adresse, mandataires sociaux) ;</w:t>
      </w:r>
    </w:p>
    <w:p w14:paraId="1BA5C9F3" w14:textId="77777777" w:rsidR="0063567E" w:rsidRPr="00E96024" w:rsidRDefault="0031217D">
      <w:pPr>
        <w:pStyle w:val="RedaliaRetraitavecpuce"/>
      </w:pPr>
      <w:r w:rsidRPr="00E96024">
        <w:t>De bénéficier d'une reprise des données concernant la taille de l'entreprise et son chiffre d’affaires global ;</w:t>
      </w:r>
    </w:p>
    <w:p w14:paraId="1BA5C9F4" w14:textId="77777777" w:rsidR="0063567E" w:rsidRPr="00E96024" w:rsidRDefault="0031217D">
      <w:pPr>
        <w:pStyle w:val="RedaliaRetraitavecpuce"/>
      </w:pPr>
      <w:r w:rsidRPr="00E96024">
        <w:t>D'attester du respect des obligations sociales et fiscales grâce à une requête automatisée auprès des administrations concernées (DGFIP, ACOSS).</w:t>
      </w:r>
    </w:p>
    <w:p w14:paraId="1BA5C9F5" w14:textId="77777777" w:rsidR="0063567E" w:rsidRPr="00E96024" w:rsidRDefault="0063567E">
      <w:pPr>
        <w:pStyle w:val="RedaliaNormal"/>
      </w:pPr>
    </w:p>
    <w:p w14:paraId="1BA5C9F6" w14:textId="77777777" w:rsidR="0063567E" w:rsidRDefault="0031217D">
      <w:pPr>
        <w:pStyle w:val="RedaliaNormal"/>
      </w:pPr>
      <w:r w:rsidRPr="00E96024">
        <w:t>Les autres informations éventuelles devront être complétées.</w:t>
      </w:r>
    </w:p>
    <w:p w14:paraId="75B79041" w14:textId="77777777" w:rsidR="00F11534" w:rsidRPr="00E96024" w:rsidRDefault="00F11534">
      <w:pPr>
        <w:pStyle w:val="RedaliaNormal"/>
      </w:pPr>
    </w:p>
    <w:p w14:paraId="1BA5C9F7" w14:textId="77777777" w:rsidR="0063567E" w:rsidRDefault="0031217D">
      <w:pPr>
        <w:pStyle w:val="RedaliaNormal"/>
      </w:pPr>
      <w:r w:rsidRPr="00E96024">
        <w:t>Attention, les candidats devront joindre leur offre technique et commerciale ainsi que les documents de la candidature qui ne seraient pas dans le formulaire DUME.</w:t>
      </w:r>
    </w:p>
    <w:p w14:paraId="7DD4268A" w14:textId="77777777" w:rsidR="00657739" w:rsidRDefault="00657739">
      <w:pPr>
        <w:pStyle w:val="RedaliaNormal"/>
      </w:pPr>
    </w:p>
    <w:p w14:paraId="3D874D05" w14:textId="77777777" w:rsidR="00657739" w:rsidRDefault="00657739">
      <w:pPr>
        <w:pStyle w:val="RedaliaNormal"/>
      </w:pPr>
    </w:p>
    <w:p w14:paraId="2AA32951" w14:textId="77777777" w:rsidR="00657739" w:rsidRPr="00E96024" w:rsidRDefault="00657739">
      <w:pPr>
        <w:pStyle w:val="RedaliaNormal"/>
      </w:pPr>
    </w:p>
    <w:p w14:paraId="1BA5C9F8" w14:textId="77777777" w:rsidR="0063567E" w:rsidRPr="0061775B" w:rsidRDefault="0031217D">
      <w:pPr>
        <w:pStyle w:val="RedaliaTitre2"/>
      </w:pPr>
      <w:bookmarkStart w:id="35" w:name="__RefHeading__22243_280481371"/>
      <w:r w:rsidRPr="0061775B">
        <w:lastRenderedPageBreak/>
        <w:t>Éléments nécessaires au choix de l’offre</w:t>
      </w:r>
      <w:bookmarkEnd w:id="35"/>
    </w:p>
    <w:p w14:paraId="1BA5C9F9" w14:textId="77777777" w:rsidR="0063567E" w:rsidRPr="0061775B" w:rsidRDefault="0031217D">
      <w:pPr>
        <w:pStyle w:val="RedaliaNormal"/>
      </w:pPr>
      <w:r w:rsidRPr="0061775B">
        <w:t>Pour le choix de l'offre, les candidats doivent produire les documents suivants :</w:t>
      </w:r>
    </w:p>
    <w:p w14:paraId="1BA5C9FA" w14:textId="77777777" w:rsidR="0063567E" w:rsidRPr="0061775B" w:rsidRDefault="0031217D">
      <w:pPr>
        <w:pStyle w:val="RedaliaRetraitavecpuce"/>
      </w:pPr>
      <w:r w:rsidRPr="0061775B">
        <w:t>Un acte d’engagement (</w:t>
      </w:r>
      <w:proofErr w:type="gramStart"/>
      <w:r w:rsidRPr="0061775B">
        <w:t xml:space="preserve">AE)  </w:t>
      </w:r>
      <w:r w:rsidRPr="0061775B">
        <w:rPr>
          <w:b/>
          <w:u w:val="single"/>
        </w:rPr>
        <w:t>par</w:t>
      </w:r>
      <w:proofErr w:type="gramEnd"/>
      <w:r w:rsidRPr="0061775B">
        <w:rPr>
          <w:b/>
          <w:u w:val="single"/>
        </w:rPr>
        <w:t xml:space="preserve"> lot</w:t>
      </w:r>
    </w:p>
    <w:p w14:paraId="1BA5C9FB" w14:textId="77777777" w:rsidR="0063567E" w:rsidRPr="0061775B" w:rsidRDefault="0063567E">
      <w:pPr>
        <w:pStyle w:val="RedaliaNormal"/>
      </w:pPr>
    </w:p>
    <w:p w14:paraId="1BA5C9FC" w14:textId="77777777" w:rsidR="0063567E" w:rsidRPr="0061775B" w:rsidRDefault="0031217D">
      <w:pPr>
        <w:pStyle w:val="RedaliaNormal"/>
        <w:rPr>
          <w:i/>
          <w:iCs/>
        </w:rPr>
      </w:pPr>
      <w:r w:rsidRPr="0061775B">
        <w:rPr>
          <w:i/>
          <w:iCs/>
        </w:rPr>
        <w:t>Le candidat précisera également la nature et le montant des prestations qu’il envisage de sous-traiter ainsi que la liste des sous-traitants qu'il se propose de présenter à l'agrément et à l'acceptation du pouvoir adjudicateur.</w:t>
      </w:r>
    </w:p>
    <w:p w14:paraId="1BA5C9FD" w14:textId="77777777" w:rsidR="0063567E" w:rsidRPr="002D3520" w:rsidRDefault="0063567E">
      <w:pPr>
        <w:pStyle w:val="RedaliaNormal"/>
      </w:pPr>
    </w:p>
    <w:p w14:paraId="1BA5CA12" w14:textId="7758445F" w:rsidR="0063567E" w:rsidRPr="00CF137A" w:rsidRDefault="00441C57" w:rsidP="00441C57">
      <w:pPr>
        <w:pStyle w:val="RedaliaRetraitavecpuce"/>
      </w:pPr>
      <w:r w:rsidRPr="00CF137A">
        <w:t>U</w:t>
      </w:r>
      <w:r w:rsidR="0031217D" w:rsidRPr="00CF137A">
        <w:t>ne décomposition du prix global et forfaitaire.</w:t>
      </w:r>
      <w:r w:rsidR="00B25529" w:rsidRPr="00CF137A">
        <w:t xml:space="preserve"> Les DPGF seront fournies au format .</w:t>
      </w:r>
      <w:proofErr w:type="spellStart"/>
      <w:r w:rsidR="00B25529" w:rsidRPr="00CF137A">
        <w:t>pdf</w:t>
      </w:r>
      <w:proofErr w:type="spellEnd"/>
      <w:r w:rsidR="00B25529" w:rsidRPr="00CF137A">
        <w:t xml:space="preserve"> et au format .xlsx </w:t>
      </w:r>
      <w:proofErr w:type="gramStart"/>
      <w:r w:rsidR="00B25529" w:rsidRPr="00CF137A">
        <w:t>ou</w:t>
      </w:r>
      <w:proofErr w:type="gramEnd"/>
      <w:r w:rsidR="00B25529" w:rsidRPr="00CF137A">
        <w:t xml:space="preserve"> .</w:t>
      </w:r>
      <w:proofErr w:type="spellStart"/>
      <w:r w:rsidR="00B25529" w:rsidRPr="00CF137A">
        <w:t>ods</w:t>
      </w:r>
      <w:proofErr w:type="spellEnd"/>
      <w:r w:rsidR="00B25529" w:rsidRPr="00CF137A">
        <w:t>.</w:t>
      </w:r>
    </w:p>
    <w:p w14:paraId="1BA5CA13" w14:textId="3AD71875" w:rsidR="0063567E" w:rsidRPr="002D3520" w:rsidRDefault="00441C57">
      <w:pPr>
        <w:pStyle w:val="RedaliaRetraitavecpuce"/>
      </w:pPr>
      <w:r w:rsidRPr="002D3520">
        <w:t>Un p</w:t>
      </w:r>
      <w:r w:rsidR="0031217D" w:rsidRPr="002D3520">
        <w:t xml:space="preserve">rojet avec PSE et, le cas échéant, avec variantes pour les lots pour lesquels elles sont autorisées : à présenter dans le respect des modalités prévues aux articles </w:t>
      </w:r>
      <w:r w:rsidR="0031217D" w:rsidRPr="002D3520">
        <w:rPr>
          <w:i/>
          <w:iCs/>
        </w:rPr>
        <w:t xml:space="preserve">Variantes </w:t>
      </w:r>
      <w:r w:rsidR="0031217D" w:rsidRPr="002D3520">
        <w:t xml:space="preserve">et </w:t>
      </w:r>
      <w:r w:rsidR="0031217D" w:rsidRPr="002D3520">
        <w:rPr>
          <w:i/>
          <w:iCs/>
        </w:rPr>
        <w:t>PSE</w:t>
      </w:r>
      <w:r w:rsidR="0031217D" w:rsidRPr="002D3520">
        <w:t xml:space="preserve"> ci-dessus.</w:t>
      </w:r>
    </w:p>
    <w:p w14:paraId="1BA5CA14" w14:textId="7B9E5470" w:rsidR="0063567E" w:rsidRPr="00CF137A" w:rsidRDefault="005A3113">
      <w:pPr>
        <w:pStyle w:val="RedaliaRetraitavecpuce"/>
      </w:pPr>
      <w:r w:rsidRPr="00CF137A">
        <w:t>Le</w:t>
      </w:r>
      <w:r w:rsidR="009E7C98" w:rsidRPr="00CF137A">
        <w:t xml:space="preserve"> cadre du</w:t>
      </w:r>
      <w:r w:rsidR="0031217D" w:rsidRPr="00CF137A">
        <w:t xml:space="preserve"> mémoire technique </w:t>
      </w:r>
      <w:r w:rsidRPr="00CF137A">
        <w:t xml:space="preserve">joint </w:t>
      </w:r>
      <w:r w:rsidR="009E7C98" w:rsidRPr="00CF137A">
        <w:t>au présent règlement de consultation</w:t>
      </w:r>
      <w:r w:rsidR="000B2C27" w:rsidRPr="00CF137A">
        <w:t xml:space="preserve"> (Annexes 1 et 2)</w:t>
      </w:r>
      <w:r w:rsidR="009E7C98" w:rsidRPr="00CF137A">
        <w:t>.</w:t>
      </w:r>
    </w:p>
    <w:p w14:paraId="1BA5CA15" w14:textId="77777777" w:rsidR="0063567E" w:rsidRPr="009A2750" w:rsidRDefault="0063567E">
      <w:pPr>
        <w:pStyle w:val="RedaliaNormal"/>
        <w:rPr>
          <w:color w:val="FF0000"/>
        </w:rPr>
      </w:pPr>
    </w:p>
    <w:p w14:paraId="1BA5CA16" w14:textId="77777777" w:rsidR="0063567E" w:rsidRPr="002D3520" w:rsidRDefault="0031217D">
      <w:pPr>
        <w:pStyle w:val="RedaliaNormal"/>
      </w:pPr>
      <w:r w:rsidRPr="002D3520">
        <w:t>Le CCAP et les documents remis par le pouvoir adjudicateur, à l’exception de ceux visés ci-dessus et leurs annexes ne sont pas à remettre dans l’offre. Seuls les documents détenus par le pouvoir adjudicateur font foi.</w:t>
      </w:r>
    </w:p>
    <w:p w14:paraId="1BA5CA17" w14:textId="77777777" w:rsidR="0063567E" w:rsidRPr="002D3520" w:rsidRDefault="0063567E">
      <w:pPr>
        <w:pStyle w:val="RedaliaNormal"/>
      </w:pPr>
    </w:p>
    <w:p w14:paraId="1BA5CA18" w14:textId="77777777" w:rsidR="0063567E" w:rsidRPr="002D3520" w:rsidRDefault="0031217D">
      <w:pPr>
        <w:pStyle w:val="RedaliaNormal"/>
      </w:pPr>
      <w:r w:rsidRPr="002D3520">
        <w:t>Il est rappelé aux candidats que la signature de l’acte d’engagement vaut acceptation de toutes les pièces contractuelles.</w:t>
      </w:r>
    </w:p>
    <w:p w14:paraId="1BA5CA19" w14:textId="77777777" w:rsidR="0063567E" w:rsidRPr="00C5530F" w:rsidRDefault="0031217D">
      <w:pPr>
        <w:pStyle w:val="RedaliaTitre1"/>
      </w:pPr>
      <w:bookmarkStart w:id="36" w:name="__RefHeading__22245_280481371"/>
      <w:r w:rsidRPr="00C5530F">
        <w:t>Jugement des candidatures, des offres et attribution du marché</w:t>
      </w:r>
      <w:bookmarkEnd w:id="36"/>
    </w:p>
    <w:p w14:paraId="1BA5CA1A" w14:textId="77777777" w:rsidR="0063567E" w:rsidRPr="00C5530F" w:rsidRDefault="0031217D">
      <w:pPr>
        <w:pStyle w:val="RedaliaTitre2"/>
      </w:pPr>
      <w:bookmarkStart w:id="37" w:name="__RefHeading__22247_280481371"/>
      <w:bookmarkStart w:id="38" w:name="_Toc170898457"/>
      <w:r w:rsidRPr="00C5530F">
        <w:t>Jugement des candidatures</w:t>
      </w:r>
      <w:bookmarkEnd w:id="37"/>
      <w:bookmarkEnd w:id="38"/>
    </w:p>
    <w:p w14:paraId="1BA5CA1B" w14:textId="77777777" w:rsidR="0063567E" w:rsidRPr="00C5530F" w:rsidRDefault="0031217D">
      <w:pPr>
        <w:pStyle w:val="RedaliaNormal"/>
      </w:pPr>
      <w:r w:rsidRPr="00C5530F">
        <w:t xml:space="preserve">Les critères relatifs à la candidature et intervenant pour la sélection sont les </w:t>
      </w:r>
      <w:r w:rsidRPr="00C5530F">
        <w:rPr>
          <w:b/>
          <w:bCs/>
        </w:rPr>
        <w:t>capacités techniques, financières et professionnelles</w:t>
      </w:r>
      <w:r w:rsidRPr="00C5530F">
        <w:t>.</w:t>
      </w:r>
    </w:p>
    <w:p w14:paraId="1BA5CA1C" w14:textId="77777777" w:rsidR="0063567E" w:rsidRPr="00CF137A" w:rsidRDefault="0031217D">
      <w:pPr>
        <w:pStyle w:val="RedaliaTitre2"/>
      </w:pPr>
      <w:bookmarkStart w:id="39" w:name="__RefHeading__22249_280481371"/>
      <w:bookmarkStart w:id="40" w:name="_Toc1708984571"/>
      <w:r w:rsidRPr="00CF137A">
        <w:t>Jugement des offres</w:t>
      </w:r>
      <w:bookmarkEnd w:id="39"/>
      <w:bookmarkEnd w:id="40"/>
    </w:p>
    <w:p w14:paraId="1BA5CA1D" w14:textId="77777777" w:rsidR="0063567E" w:rsidRPr="00CF137A" w:rsidRDefault="0031217D">
      <w:pPr>
        <w:pStyle w:val="RedaliaNormal"/>
      </w:pPr>
      <w:r w:rsidRPr="00CF137A">
        <w:t>Les critères intervenant pour le jugement des offres sont pondérés de la manière suivante :</w:t>
      </w:r>
    </w:p>
    <w:p w14:paraId="1BA5CA1E" w14:textId="77777777" w:rsidR="0063567E" w:rsidRPr="00CF137A" w:rsidRDefault="0063567E">
      <w:pPr>
        <w:pStyle w:val="RedaliaNormal"/>
      </w:pPr>
    </w:p>
    <w:tbl>
      <w:tblPr>
        <w:tblW w:w="9072" w:type="dxa"/>
        <w:tblInd w:w="108" w:type="dxa"/>
        <w:tblLayout w:type="fixed"/>
        <w:tblCellMar>
          <w:left w:w="10" w:type="dxa"/>
          <w:right w:w="10" w:type="dxa"/>
        </w:tblCellMar>
        <w:tblLook w:val="0000" w:firstRow="0" w:lastRow="0" w:firstColumn="0" w:lastColumn="0" w:noHBand="0" w:noVBand="0"/>
      </w:tblPr>
      <w:tblGrid>
        <w:gridCol w:w="7088"/>
        <w:gridCol w:w="1984"/>
      </w:tblGrid>
      <w:tr w:rsidR="00CF137A" w:rsidRPr="00CF137A" w14:paraId="1BA5CA21" w14:textId="77777777">
        <w:trPr>
          <w:trHeight w:val="472"/>
        </w:trPr>
        <w:tc>
          <w:tcPr>
            <w:tcW w:w="708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BA5CA1F" w14:textId="77777777" w:rsidR="0063567E" w:rsidRPr="00CF137A" w:rsidRDefault="0031217D">
            <w:pPr>
              <w:pStyle w:val="RedaliaNormal"/>
              <w:tabs>
                <w:tab w:val="left" w:pos="7272"/>
              </w:tabs>
              <w:ind w:right="-108"/>
              <w:jc w:val="center"/>
              <w:rPr>
                <w:b/>
                <w:bCs/>
              </w:rPr>
            </w:pPr>
            <w:r w:rsidRPr="00CF137A">
              <w:rPr>
                <w:b/>
                <w:bCs/>
              </w:rPr>
              <w:t>Critères</w:t>
            </w:r>
          </w:p>
        </w:tc>
        <w:tc>
          <w:tcPr>
            <w:tcW w:w="198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BA5CA20" w14:textId="77777777" w:rsidR="0063567E" w:rsidRPr="00CF137A" w:rsidRDefault="0031217D">
            <w:pPr>
              <w:pStyle w:val="RedaliaNormal"/>
              <w:jc w:val="center"/>
              <w:rPr>
                <w:b/>
                <w:bCs/>
              </w:rPr>
            </w:pPr>
            <w:r w:rsidRPr="00CF137A">
              <w:rPr>
                <w:b/>
                <w:bCs/>
              </w:rPr>
              <w:t>Pondération</w:t>
            </w:r>
          </w:p>
        </w:tc>
      </w:tr>
      <w:tr w:rsidR="00CF137A" w:rsidRPr="00CF137A" w14:paraId="1BA5CA25" w14:textId="77777777">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A5CA22" w14:textId="77777777" w:rsidR="0063567E" w:rsidRPr="00CF137A" w:rsidRDefault="0031217D">
            <w:pPr>
              <w:pStyle w:val="RedaliaNormal"/>
              <w:tabs>
                <w:tab w:val="left" w:pos="7272"/>
              </w:tabs>
              <w:ind w:right="-108"/>
              <w:jc w:val="center"/>
              <w:rPr>
                <w:b/>
                <w:bCs/>
              </w:rPr>
            </w:pPr>
            <w:r w:rsidRPr="00CF137A">
              <w:rPr>
                <w:b/>
                <w:bCs/>
              </w:rPr>
              <w:t>Prix</w:t>
            </w:r>
          </w:p>
          <w:p w14:paraId="1BA5CA23" w14:textId="1320C350" w:rsidR="0063567E" w:rsidRPr="00CF137A" w:rsidRDefault="0031217D">
            <w:pPr>
              <w:pStyle w:val="RedaliaNormal"/>
              <w:tabs>
                <w:tab w:val="left" w:pos="7272"/>
              </w:tabs>
              <w:ind w:right="-108"/>
              <w:jc w:val="center"/>
            </w:pPr>
            <w:r w:rsidRPr="00CF137A">
              <w:t>Ce critère est noté selon la formule de notation : Note du Prix = (Montant TTC de l'offre la plus basse / Montant TTC de l'offre examinée) x Nombre de point de la pondération.</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A5CA24" w14:textId="77777777" w:rsidR="0063567E" w:rsidRPr="00CF137A" w:rsidRDefault="0031217D">
            <w:pPr>
              <w:pStyle w:val="RedaliaNormal"/>
              <w:jc w:val="center"/>
              <w:rPr>
                <w:b/>
                <w:bCs/>
              </w:rPr>
            </w:pPr>
            <w:r w:rsidRPr="00CF137A">
              <w:rPr>
                <w:b/>
                <w:bCs/>
              </w:rPr>
              <w:t>60 %</w:t>
            </w:r>
          </w:p>
        </w:tc>
      </w:tr>
      <w:tr w:rsidR="00CF137A" w:rsidRPr="00CF137A" w14:paraId="1BA5CA29" w14:textId="77777777" w:rsidTr="001D46BE">
        <w:trPr>
          <w:trHeight w:val="446"/>
        </w:trPr>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A5CA27" w14:textId="469C5353" w:rsidR="0063567E" w:rsidRPr="001D46BE" w:rsidRDefault="0031217D" w:rsidP="001D46BE">
            <w:pPr>
              <w:pStyle w:val="RedaliaNormal"/>
              <w:tabs>
                <w:tab w:val="left" w:pos="7272"/>
              </w:tabs>
              <w:ind w:right="-108"/>
              <w:jc w:val="center"/>
              <w:rPr>
                <w:b/>
                <w:bCs/>
              </w:rPr>
            </w:pPr>
            <w:r w:rsidRPr="00CF137A">
              <w:rPr>
                <w:b/>
                <w:bCs/>
              </w:rPr>
              <w:t>Valeur technique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A5CA28" w14:textId="5254240E" w:rsidR="0063567E" w:rsidRPr="00CF137A" w:rsidRDefault="002A1183">
            <w:pPr>
              <w:pStyle w:val="RedaliaNormal"/>
              <w:jc w:val="center"/>
              <w:rPr>
                <w:b/>
                <w:bCs/>
              </w:rPr>
            </w:pPr>
            <w:r w:rsidRPr="00CF137A">
              <w:rPr>
                <w:b/>
                <w:bCs/>
              </w:rPr>
              <w:t>4</w:t>
            </w:r>
            <w:r w:rsidR="0031217D" w:rsidRPr="00CF137A">
              <w:rPr>
                <w:b/>
                <w:bCs/>
              </w:rPr>
              <w:t>0 %</w:t>
            </w:r>
          </w:p>
        </w:tc>
      </w:tr>
    </w:tbl>
    <w:p w14:paraId="5E57B4CF" w14:textId="5912606F" w:rsidR="001D6163" w:rsidRDefault="001D6163" w:rsidP="001D46BE">
      <w:pPr>
        <w:widowControl/>
        <w:suppressAutoHyphens w:val="0"/>
        <w:autoSpaceDN/>
        <w:spacing w:before="100" w:beforeAutospacing="1" w:after="100" w:afterAutospacing="1"/>
        <w:jc w:val="both"/>
        <w:textAlignment w:val="auto"/>
        <w:rPr>
          <w:rFonts w:cs="Arial"/>
          <w:szCs w:val="22"/>
        </w:rPr>
      </w:pPr>
      <w:r w:rsidRPr="001D46BE">
        <w:rPr>
          <w:rFonts w:cs="Arial"/>
          <w:szCs w:val="22"/>
        </w:rPr>
        <w:t xml:space="preserve">Dans le cas où des erreurs purement matérielles (de multiplication, d'addition ou de report) seraient constatées dans l'offre du candidat, l'entreprise sera invitée </w:t>
      </w:r>
      <w:proofErr w:type="spellStart"/>
      <w:r w:rsidRPr="001D46BE">
        <w:rPr>
          <w:rFonts w:cs="Arial"/>
          <w:szCs w:val="22"/>
        </w:rPr>
        <w:t>a</w:t>
      </w:r>
      <w:proofErr w:type="spellEnd"/>
      <w:r w:rsidRPr="001D46BE">
        <w:rPr>
          <w:rFonts w:cs="Arial"/>
          <w:szCs w:val="22"/>
        </w:rPr>
        <w:t xml:space="preserve">̀ confirmer l'offre </w:t>
      </w:r>
      <w:proofErr w:type="spellStart"/>
      <w:r w:rsidRPr="001D46BE">
        <w:rPr>
          <w:rFonts w:cs="Arial"/>
          <w:szCs w:val="22"/>
        </w:rPr>
        <w:t>rectifée</w:t>
      </w:r>
      <w:proofErr w:type="spellEnd"/>
      <w:r w:rsidR="001D46BE">
        <w:rPr>
          <w:rFonts w:cs="Arial"/>
          <w:szCs w:val="22"/>
        </w:rPr>
        <w:t>.</w:t>
      </w:r>
      <w:r w:rsidRPr="001D46BE">
        <w:rPr>
          <w:rFonts w:cs="Arial"/>
          <w:szCs w:val="22"/>
        </w:rPr>
        <w:t xml:space="preserve"> </w:t>
      </w:r>
      <w:r w:rsidR="003C4344">
        <w:rPr>
          <w:rFonts w:cs="Arial"/>
          <w:szCs w:val="22"/>
        </w:rPr>
        <w:t>E</w:t>
      </w:r>
      <w:r w:rsidRPr="001D46BE">
        <w:rPr>
          <w:rFonts w:cs="Arial"/>
          <w:szCs w:val="22"/>
        </w:rPr>
        <w:t xml:space="preserve">n cas de refus, son offre sera éliminée comme non cohérente. </w:t>
      </w:r>
    </w:p>
    <w:p w14:paraId="687CFBB8" w14:textId="77777777" w:rsidR="00657739" w:rsidRPr="001D46BE" w:rsidRDefault="00657739" w:rsidP="001D46BE">
      <w:pPr>
        <w:widowControl/>
        <w:suppressAutoHyphens w:val="0"/>
        <w:autoSpaceDN/>
        <w:spacing w:before="100" w:beforeAutospacing="1" w:after="100" w:afterAutospacing="1"/>
        <w:jc w:val="both"/>
        <w:textAlignment w:val="auto"/>
        <w:rPr>
          <w:rFonts w:cs="Arial"/>
          <w:szCs w:val="22"/>
        </w:rPr>
      </w:pPr>
    </w:p>
    <w:p w14:paraId="1BA5CA2F" w14:textId="77777777" w:rsidR="0063567E" w:rsidRPr="00CF137A" w:rsidRDefault="0031217D">
      <w:pPr>
        <w:pStyle w:val="Titre4"/>
      </w:pPr>
      <w:r w:rsidRPr="00CF137A">
        <w:rPr>
          <w:i w:val="0"/>
          <w:iCs/>
          <w:u w:val="single"/>
        </w:rPr>
        <w:lastRenderedPageBreak/>
        <w:t>Précision sur l’analyse des offres</w:t>
      </w:r>
      <w:r w:rsidRPr="00CF137A">
        <w:t xml:space="preserve"> :</w:t>
      </w:r>
    </w:p>
    <w:p w14:paraId="3866C583" w14:textId="77777777" w:rsidR="00DD2F8D" w:rsidRPr="00CF137A" w:rsidRDefault="00DD2F8D">
      <w:pPr>
        <w:pStyle w:val="RedaliaNormal"/>
        <w:rPr>
          <w:color w:val="FF0000"/>
        </w:rPr>
      </w:pPr>
    </w:p>
    <w:p w14:paraId="06B421A6" w14:textId="48F1B79C" w:rsidR="00DD2F8D" w:rsidRPr="00CF137A" w:rsidRDefault="00DD2F8D" w:rsidP="001D6163">
      <w:pPr>
        <w:widowControl/>
        <w:suppressAutoHyphens w:val="0"/>
        <w:autoSpaceDN/>
        <w:jc w:val="both"/>
        <w:textAlignment w:val="auto"/>
        <w:rPr>
          <w:rFonts w:ascii="Times New Roman" w:hAnsi="Times New Roman"/>
          <w:sz w:val="24"/>
          <w:szCs w:val="24"/>
        </w:rPr>
      </w:pPr>
      <w:r w:rsidRPr="00CF137A">
        <w:rPr>
          <w:rFonts w:ascii="Times New Roman" w:hAnsi="Times New Roman"/>
          <w:b/>
          <w:bCs/>
          <w:sz w:val="24"/>
          <w:szCs w:val="24"/>
        </w:rPr>
        <w:t xml:space="preserve">Analyse de la valeur technique </w:t>
      </w:r>
    </w:p>
    <w:p w14:paraId="477B9640" w14:textId="7BE37563" w:rsidR="00DD2F8D" w:rsidRPr="00CF137A" w:rsidRDefault="00DD2F8D" w:rsidP="001D6163">
      <w:pPr>
        <w:widowControl/>
        <w:suppressAutoHyphens w:val="0"/>
        <w:autoSpaceDN/>
        <w:jc w:val="both"/>
        <w:textAlignment w:val="auto"/>
        <w:rPr>
          <w:rFonts w:ascii="Times New Roman" w:hAnsi="Times New Roman"/>
          <w:sz w:val="24"/>
          <w:szCs w:val="24"/>
        </w:rPr>
      </w:pPr>
      <w:r w:rsidRPr="00CF137A">
        <w:rPr>
          <w:rFonts w:ascii="Times New Roman" w:hAnsi="Times New Roman"/>
          <w:sz w:val="24"/>
          <w:szCs w:val="24"/>
        </w:rPr>
        <w:t xml:space="preserve">Une note maximale de 40 points sera attribuée </w:t>
      </w:r>
      <w:r w:rsidRPr="008B2E51">
        <w:rPr>
          <w:rFonts w:ascii="Times New Roman" w:hAnsi="Times New Roman"/>
          <w:sz w:val="24"/>
          <w:szCs w:val="24"/>
        </w:rPr>
        <w:t xml:space="preserve">pour un mémoire justificatif complet : </w:t>
      </w:r>
    </w:p>
    <w:p w14:paraId="6B3FF0E3" w14:textId="4C38094A" w:rsidR="00DD2F8D" w:rsidRPr="00CF137A" w:rsidRDefault="00DD2F8D" w:rsidP="001D6163">
      <w:pPr>
        <w:widowControl/>
        <w:suppressAutoHyphens w:val="0"/>
        <w:autoSpaceDN/>
        <w:jc w:val="both"/>
        <w:textAlignment w:val="auto"/>
        <w:rPr>
          <w:rFonts w:ascii="Times New Roman" w:hAnsi="Times New Roman"/>
          <w:sz w:val="24"/>
          <w:szCs w:val="24"/>
        </w:rPr>
      </w:pPr>
      <w:r w:rsidRPr="00CF137A">
        <w:rPr>
          <w:rFonts w:ascii="Times New Roman" w:hAnsi="Times New Roman"/>
          <w:b/>
          <w:bCs/>
          <w:sz w:val="24"/>
          <w:szCs w:val="24"/>
        </w:rPr>
        <w:t xml:space="preserve">Sous-critère note méthodologique = 20 points </w:t>
      </w:r>
    </w:p>
    <w:p w14:paraId="0F0913ED" w14:textId="0CAE8572" w:rsidR="00DD2F8D" w:rsidRPr="00CF137A" w:rsidRDefault="00DD2F8D" w:rsidP="001D6163">
      <w:pPr>
        <w:widowControl/>
        <w:suppressAutoHyphens w:val="0"/>
        <w:autoSpaceDN/>
        <w:jc w:val="both"/>
        <w:textAlignment w:val="auto"/>
        <w:rPr>
          <w:rFonts w:ascii="Times New Roman" w:hAnsi="Times New Roman"/>
          <w:sz w:val="24"/>
          <w:szCs w:val="24"/>
        </w:rPr>
      </w:pPr>
      <w:r w:rsidRPr="00CF137A">
        <w:rPr>
          <w:rFonts w:ascii="Times New Roman" w:hAnsi="Times New Roman"/>
          <w:sz w:val="24"/>
          <w:szCs w:val="24"/>
        </w:rPr>
        <w:t xml:space="preserve">20 points maximum pour une note complète multicritères (Description de la méthodologie d’intervention, prise en compte des contraintes (accès au site ...), méthodologie de maîtrise des délais et respect du calendrier, besoins en cantonnements (interdiction de stockage dans les locaux), réception des supports, nettoyage quotidien de la zone de travail, évacuation des déchets, protection des ouvrages réalisés, autocontrôles des réalisations avant opérations préalables à la réception, etc... </w:t>
      </w:r>
    </w:p>
    <w:p w14:paraId="6A4E2E4E" w14:textId="677DE1CB" w:rsidR="00DD2F8D" w:rsidRPr="00CF137A" w:rsidRDefault="00DD2F8D" w:rsidP="001D6163">
      <w:pPr>
        <w:widowControl/>
        <w:suppressAutoHyphens w:val="0"/>
        <w:autoSpaceDN/>
        <w:jc w:val="both"/>
        <w:textAlignment w:val="auto"/>
        <w:rPr>
          <w:rFonts w:ascii="Times New Roman" w:hAnsi="Times New Roman"/>
          <w:sz w:val="24"/>
          <w:szCs w:val="24"/>
        </w:rPr>
      </w:pPr>
      <w:r w:rsidRPr="00CF137A">
        <w:rPr>
          <w:rFonts w:ascii="Times New Roman" w:hAnsi="Times New Roman"/>
          <w:b/>
          <w:bCs/>
          <w:sz w:val="24"/>
          <w:szCs w:val="24"/>
        </w:rPr>
        <w:t xml:space="preserve">Détail de notation </w:t>
      </w:r>
    </w:p>
    <w:p w14:paraId="10B70A07" w14:textId="77777777" w:rsidR="001D6163" w:rsidRPr="00CF137A" w:rsidRDefault="00DD2F8D" w:rsidP="001D6163">
      <w:pPr>
        <w:widowControl/>
        <w:suppressAutoHyphens w:val="0"/>
        <w:autoSpaceDN/>
        <w:jc w:val="both"/>
        <w:textAlignment w:val="auto"/>
        <w:rPr>
          <w:rFonts w:ascii="Times New Roman" w:hAnsi="Times New Roman"/>
          <w:sz w:val="24"/>
          <w:szCs w:val="24"/>
        </w:rPr>
      </w:pPr>
      <w:r w:rsidRPr="00CF137A">
        <w:rPr>
          <w:rFonts w:ascii="Times New Roman" w:hAnsi="Times New Roman"/>
          <w:sz w:val="24"/>
          <w:szCs w:val="24"/>
        </w:rPr>
        <w:t>Pour obtenir la note maximale, présenter votre mémoire sur 2 ou 3 pages A4 maximum (nécessité de synthétiser). Chaque critère valant 2 points (Si vous répondez correctement, vous avez la note maximale pour ce critère.</w:t>
      </w:r>
    </w:p>
    <w:p w14:paraId="545363EA" w14:textId="590871FA" w:rsidR="00DD2F8D" w:rsidRPr="00CF137A" w:rsidRDefault="00DD2F8D" w:rsidP="001D6163">
      <w:pPr>
        <w:widowControl/>
        <w:suppressAutoHyphens w:val="0"/>
        <w:autoSpaceDN/>
        <w:jc w:val="both"/>
        <w:textAlignment w:val="auto"/>
        <w:rPr>
          <w:rFonts w:ascii="Times New Roman" w:hAnsi="Times New Roman"/>
          <w:sz w:val="24"/>
          <w:szCs w:val="24"/>
        </w:rPr>
      </w:pPr>
      <w:r w:rsidRPr="00CF137A">
        <w:rPr>
          <w:rFonts w:ascii="Times New Roman" w:hAnsi="Times New Roman"/>
          <w:sz w:val="24"/>
          <w:szCs w:val="24"/>
        </w:rPr>
        <w:t xml:space="preserve">Les thèmes abordés et à renseigner : </w:t>
      </w:r>
    </w:p>
    <w:p w14:paraId="1E2CF255" w14:textId="7028FC3C" w:rsidR="00DD2F8D" w:rsidRPr="00CF137A" w:rsidRDefault="00DD2F8D" w:rsidP="001D6163">
      <w:pPr>
        <w:widowControl/>
        <w:suppressAutoHyphens w:val="0"/>
        <w:autoSpaceDN/>
        <w:jc w:val="both"/>
        <w:textAlignment w:val="auto"/>
        <w:rPr>
          <w:rFonts w:ascii="Times New Roman" w:hAnsi="Times New Roman"/>
          <w:sz w:val="24"/>
          <w:szCs w:val="24"/>
        </w:rPr>
      </w:pPr>
      <w:r w:rsidRPr="00CF137A">
        <w:rPr>
          <w:rFonts w:ascii="Times New Roman" w:hAnsi="Times New Roman"/>
          <w:b/>
          <w:bCs/>
          <w:sz w:val="24"/>
          <w:szCs w:val="24"/>
        </w:rPr>
        <w:t xml:space="preserve">1. Méthodologie d’intervention </w:t>
      </w:r>
    </w:p>
    <w:p w14:paraId="3D59770D" w14:textId="20455412" w:rsidR="00DD2F8D" w:rsidRPr="00CF137A" w:rsidRDefault="00DD2F8D" w:rsidP="001D6163">
      <w:pPr>
        <w:widowControl/>
        <w:suppressAutoHyphens w:val="0"/>
        <w:autoSpaceDN/>
        <w:jc w:val="both"/>
        <w:textAlignment w:val="auto"/>
        <w:rPr>
          <w:rFonts w:ascii="Times New Roman" w:hAnsi="Times New Roman"/>
          <w:sz w:val="24"/>
          <w:szCs w:val="24"/>
        </w:rPr>
      </w:pPr>
      <w:r w:rsidRPr="00CF137A">
        <w:rPr>
          <w:rFonts w:ascii="Times New Roman" w:hAnsi="Times New Roman"/>
          <w:sz w:val="24"/>
          <w:szCs w:val="24"/>
        </w:rPr>
        <w:t xml:space="preserve">La méthodologie s’entend par l’organisation de l’entreprise pour séquencer son intervention (achats, stockage, pose, autocontrôles et réception. </w:t>
      </w:r>
    </w:p>
    <w:p w14:paraId="2C391533" w14:textId="6D3ECA77" w:rsidR="00DD2F8D" w:rsidRPr="00CF137A" w:rsidRDefault="00DD2F8D" w:rsidP="001D6163">
      <w:pPr>
        <w:widowControl/>
        <w:suppressAutoHyphens w:val="0"/>
        <w:autoSpaceDN/>
        <w:jc w:val="both"/>
        <w:textAlignment w:val="auto"/>
        <w:rPr>
          <w:rFonts w:ascii="Times New Roman" w:hAnsi="Times New Roman"/>
          <w:sz w:val="24"/>
          <w:szCs w:val="24"/>
        </w:rPr>
      </w:pPr>
      <w:r w:rsidRPr="00CF137A">
        <w:rPr>
          <w:rFonts w:ascii="Times New Roman" w:hAnsi="Times New Roman"/>
          <w:b/>
          <w:bCs/>
          <w:sz w:val="24"/>
          <w:szCs w:val="24"/>
        </w:rPr>
        <w:t xml:space="preserve">2. Contraintes accès au site </w:t>
      </w:r>
    </w:p>
    <w:p w14:paraId="24EF1973" w14:textId="307A7BB1" w:rsidR="00DD2F8D" w:rsidRPr="00CF137A" w:rsidRDefault="00DD2F8D" w:rsidP="001D6163">
      <w:pPr>
        <w:widowControl/>
        <w:suppressAutoHyphens w:val="0"/>
        <w:autoSpaceDN/>
        <w:jc w:val="both"/>
        <w:textAlignment w:val="auto"/>
        <w:rPr>
          <w:rFonts w:ascii="Times New Roman" w:hAnsi="Times New Roman"/>
          <w:sz w:val="24"/>
          <w:szCs w:val="24"/>
        </w:rPr>
      </w:pPr>
      <w:r w:rsidRPr="00CF137A">
        <w:rPr>
          <w:rFonts w:ascii="Times New Roman" w:hAnsi="Times New Roman"/>
          <w:sz w:val="24"/>
          <w:szCs w:val="24"/>
        </w:rPr>
        <w:t xml:space="preserve">Tenir compte du périmètre du chantier, de la préservation de la sécurité du site, de la base vie et de la zone de stockage extérieure </w:t>
      </w:r>
    </w:p>
    <w:p w14:paraId="03B0150B" w14:textId="3DCFD710" w:rsidR="00DD2F8D" w:rsidRPr="00CF137A" w:rsidRDefault="00DD2F8D" w:rsidP="001D6163">
      <w:pPr>
        <w:widowControl/>
        <w:suppressAutoHyphens w:val="0"/>
        <w:autoSpaceDN/>
        <w:jc w:val="both"/>
        <w:textAlignment w:val="auto"/>
        <w:rPr>
          <w:rFonts w:ascii="Times New Roman" w:hAnsi="Times New Roman"/>
          <w:sz w:val="24"/>
          <w:szCs w:val="24"/>
        </w:rPr>
      </w:pPr>
      <w:r w:rsidRPr="00CF137A">
        <w:rPr>
          <w:rFonts w:ascii="Times New Roman" w:hAnsi="Times New Roman"/>
          <w:b/>
          <w:bCs/>
          <w:sz w:val="24"/>
          <w:szCs w:val="24"/>
        </w:rPr>
        <w:t xml:space="preserve">3. Maîtrise des délais </w:t>
      </w:r>
    </w:p>
    <w:p w14:paraId="69184E82" w14:textId="77777777" w:rsidR="001D6163" w:rsidRPr="00CF137A" w:rsidRDefault="00DD2F8D" w:rsidP="001D6163">
      <w:pPr>
        <w:widowControl/>
        <w:suppressAutoHyphens w:val="0"/>
        <w:autoSpaceDN/>
        <w:jc w:val="both"/>
        <w:textAlignment w:val="auto"/>
        <w:rPr>
          <w:rFonts w:ascii="Times New Roman" w:hAnsi="Times New Roman"/>
          <w:sz w:val="24"/>
          <w:szCs w:val="24"/>
        </w:rPr>
      </w:pPr>
      <w:r w:rsidRPr="00CF137A">
        <w:rPr>
          <w:rFonts w:ascii="Times New Roman" w:hAnsi="Times New Roman"/>
          <w:sz w:val="24"/>
          <w:szCs w:val="24"/>
        </w:rPr>
        <w:t>Préciser les ressources et notamment vos engagements en termes de modularité́ des interventions au vu du planning et du comportement des autres entreprises (ex : êtes-vous capables de mobiliser des effectifs pour rattraper des retards raisonnables).</w:t>
      </w:r>
    </w:p>
    <w:p w14:paraId="6E8F8960" w14:textId="13960AB5" w:rsidR="001D6163" w:rsidRPr="00CF137A" w:rsidRDefault="00DD2F8D" w:rsidP="001D6163">
      <w:pPr>
        <w:widowControl/>
        <w:suppressAutoHyphens w:val="0"/>
        <w:autoSpaceDN/>
        <w:jc w:val="both"/>
        <w:textAlignment w:val="auto"/>
        <w:rPr>
          <w:rFonts w:ascii="Times New Roman" w:hAnsi="Times New Roman"/>
          <w:b/>
          <w:bCs/>
          <w:sz w:val="24"/>
          <w:szCs w:val="24"/>
        </w:rPr>
      </w:pPr>
      <w:r w:rsidRPr="00CF137A">
        <w:rPr>
          <w:rFonts w:ascii="Times New Roman" w:hAnsi="Times New Roman"/>
          <w:b/>
          <w:bCs/>
          <w:sz w:val="24"/>
          <w:szCs w:val="24"/>
        </w:rPr>
        <w:t>4. Besoins en cantonnement</w:t>
      </w:r>
    </w:p>
    <w:p w14:paraId="1523E652" w14:textId="4206281A" w:rsidR="00DD2F8D" w:rsidRPr="00CF137A" w:rsidRDefault="00DD2F8D" w:rsidP="001D6163">
      <w:pPr>
        <w:widowControl/>
        <w:suppressAutoHyphens w:val="0"/>
        <w:autoSpaceDN/>
        <w:jc w:val="both"/>
        <w:textAlignment w:val="auto"/>
        <w:rPr>
          <w:rFonts w:ascii="Times New Roman" w:hAnsi="Times New Roman"/>
          <w:sz w:val="24"/>
          <w:szCs w:val="24"/>
        </w:rPr>
      </w:pPr>
      <w:r w:rsidRPr="00CF137A">
        <w:rPr>
          <w:rFonts w:ascii="Times New Roman" w:hAnsi="Times New Roman"/>
          <w:sz w:val="24"/>
          <w:szCs w:val="24"/>
        </w:rPr>
        <w:t xml:space="preserve">Préciser vos besoins (containeurs, vestiaires, Salle à Manger, sanitaires H et F) </w:t>
      </w:r>
    </w:p>
    <w:p w14:paraId="1D47886C" w14:textId="499133D7" w:rsidR="00DD2F8D" w:rsidRPr="00CF137A" w:rsidRDefault="00DD2F8D" w:rsidP="001D6163">
      <w:pPr>
        <w:widowControl/>
        <w:suppressAutoHyphens w:val="0"/>
        <w:autoSpaceDN/>
        <w:jc w:val="both"/>
        <w:textAlignment w:val="auto"/>
        <w:rPr>
          <w:rFonts w:ascii="Times New Roman" w:hAnsi="Times New Roman"/>
          <w:sz w:val="24"/>
          <w:szCs w:val="24"/>
        </w:rPr>
      </w:pPr>
      <w:r w:rsidRPr="00CF137A">
        <w:rPr>
          <w:rFonts w:ascii="Times New Roman" w:hAnsi="Times New Roman"/>
          <w:b/>
          <w:bCs/>
          <w:sz w:val="24"/>
          <w:szCs w:val="24"/>
        </w:rPr>
        <w:t xml:space="preserve">5. Stockage des matériaux </w:t>
      </w:r>
    </w:p>
    <w:p w14:paraId="5C49464A" w14:textId="7F22A6A5" w:rsidR="00DD2F8D" w:rsidRPr="00CF137A" w:rsidRDefault="00DD2F8D" w:rsidP="001D6163">
      <w:pPr>
        <w:widowControl/>
        <w:suppressAutoHyphens w:val="0"/>
        <w:autoSpaceDN/>
        <w:jc w:val="both"/>
        <w:textAlignment w:val="auto"/>
        <w:rPr>
          <w:rFonts w:ascii="Times New Roman" w:hAnsi="Times New Roman"/>
          <w:sz w:val="24"/>
          <w:szCs w:val="24"/>
        </w:rPr>
      </w:pPr>
      <w:r w:rsidRPr="00CF137A">
        <w:rPr>
          <w:rFonts w:ascii="Times New Roman" w:hAnsi="Times New Roman"/>
          <w:sz w:val="24"/>
          <w:szCs w:val="24"/>
        </w:rPr>
        <w:t xml:space="preserve">Rappel des interdits (pas de stockage à l’intérieur des bâtiments en cours de construction. Préciser si stockage et livraisons groupés ou livraisons au « fil de l’eau », par exemple. </w:t>
      </w:r>
    </w:p>
    <w:p w14:paraId="021A616C" w14:textId="52956012" w:rsidR="00DD2F8D" w:rsidRPr="00CF137A" w:rsidRDefault="00DD2F8D" w:rsidP="001D6163">
      <w:pPr>
        <w:widowControl/>
        <w:suppressAutoHyphens w:val="0"/>
        <w:autoSpaceDN/>
        <w:jc w:val="both"/>
        <w:textAlignment w:val="auto"/>
        <w:rPr>
          <w:rFonts w:ascii="Times New Roman" w:hAnsi="Times New Roman"/>
          <w:sz w:val="24"/>
          <w:szCs w:val="24"/>
        </w:rPr>
      </w:pPr>
      <w:r w:rsidRPr="00CF137A">
        <w:rPr>
          <w:rFonts w:ascii="Times New Roman" w:hAnsi="Times New Roman"/>
          <w:b/>
          <w:bCs/>
          <w:sz w:val="24"/>
          <w:szCs w:val="24"/>
        </w:rPr>
        <w:t xml:space="preserve">6. Réception des supports </w:t>
      </w:r>
    </w:p>
    <w:p w14:paraId="49182C39" w14:textId="44E4483D" w:rsidR="00DD2F8D" w:rsidRPr="00CF137A" w:rsidRDefault="00DD2F8D" w:rsidP="001D6163">
      <w:pPr>
        <w:widowControl/>
        <w:suppressAutoHyphens w:val="0"/>
        <w:autoSpaceDN/>
        <w:jc w:val="both"/>
        <w:textAlignment w:val="auto"/>
        <w:rPr>
          <w:rFonts w:ascii="Times New Roman" w:hAnsi="Times New Roman"/>
          <w:sz w:val="24"/>
          <w:szCs w:val="24"/>
        </w:rPr>
      </w:pPr>
      <w:r w:rsidRPr="00CF137A">
        <w:rPr>
          <w:rFonts w:ascii="Times New Roman" w:hAnsi="Times New Roman"/>
          <w:sz w:val="24"/>
          <w:szCs w:val="24"/>
        </w:rPr>
        <w:t xml:space="preserve">Préciser les conditions de réception des supports conformément au CCAG-TRAVAUX. </w:t>
      </w:r>
    </w:p>
    <w:p w14:paraId="3F656532" w14:textId="77777777" w:rsidR="00DD2F8D" w:rsidRPr="00CF137A" w:rsidRDefault="00DD2F8D" w:rsidP="001D6163">
      <w:pPr>
        <w:widowControl/>
        <w:suppressAutoHyphens w:val="0"/>
        <w:autoSpaceDN/>
        <w:jc w:val="both"/>
        <w:textAlignment w:val="auto"/>
        <w:rPr>
          <w:rFonts w:ascii="Times New Roman" w:hAnsi="Times New Roman"/>
          <w:sz w:val="24"/>
          <w:szCs w:val="24"/>
        </w:rPr>
      </w:pPr>
      <w:r w:rsidRPr="00CF137A">
        <w:rPr>
          <w:rFonts w:ascii="Times New Roman" w:hAnsi="Times New Roman"/>
          <w:b/>
          <w:bCs/>
          <w:sz w:val="24"/>
          <w:szCs w:val="24"/>
        </w:rPr>
        <w:t xml:space="preserve">7. Nettoyage </w:t>
      </w:r>
    </w:p>
    <w:p w14:paraId="2FE7FB84" w14:textId="0F5BF194" w:rsidR="00DD2F8D" w:rsidRPr="00CF137A" w:rsidRDefault="00DD2F8D" w:rsidP="001D6163">
      <w:pPr>
        <w:widowControl/>
        <w:suppressAutoHyphens w:val="0"/>
        <w:autoSpaceDN/>
        <w:jc w:val="both"/>
        <w:textAlignment w:val="auto"/>
        <w:rPr>
          <w:rFonts w:ascii="Times New Roman" w:hAnsi="Times New Roman"/>
          <w:sz w:val="24"/>
          <w:szCs w:val="24"/>
        </w:rPr>
      </w:pPr>
      <w:r w:rsidRPr="00CF137A">
        <w:rPr>
          <w:rFonts w:ascii="Times New Roman" w:hAnsi="Times New Roman"/>
          <w:sz w:val="24"/>
          <w:szCs w:val="24"/>
        </w:rPr>
        <w:t xml:space="preserve">Préciser les dispositions prises pour vos postes de travail </w:t>
      </w:r>
    </w:p>
    <w:p w14:paraId="71A8D450" w14:textId="64E01FB3" w:rsidR="00DD2F8D" w:rsidRPr="00CF137A" w:rsidRDefault="00DD2F8D" w:rsidP="001D6163">
      <w:pPr>
        <w:widowControl/>
        <w:suppressAutoHyphens w:val="0"/>
        <w:autoSpaceDN/>
        <w:jc w:val="both"/>
        <w:textAlignment w:val="auto"/>
        <w:rPr>
          <w:rFonts w:ascii="Times New Roman" w:hAnsi="Times New Roman"/>
          <w:sz w:val="24"/>
          <w:szCs w:val="24"/>
        </w:rPr>
      </w:pPr>
      <w:r w:rsidRPr="00CF137A">
        <w:rPr>
          <w:rFonts w:ascii="Times New Roman" w:hAnsi="Times New Roman"/>
          <w:b/>
          <w:bCs/>
          <w:sz w:val="24"/>
          <w:szCs w:val="24"/>
        </w:rPr>
        <w:t xml:space="preserve">8. </w:t>
      </w:r>
      <w:proofErr w:type="gramStart"/>
      <w:r w:rsidRPr="00CF137A">
        <w:rPr>
          <w:rFonts w:ascii="Times New Roman" w:hAnsi="Times New Roman"/>
          <w:b/>
          <w:bCs/>
          <w:sz w:val="24"/>
          <w:szCs w:val="24"/>
        </w:rPr>
        <w:t>Tri sélectif</w:t>
      </w:r>
      <w:proofErr w:type="gramEnd"/>
      <w:r w:rsidRPr="00CF137A">
        <w:rPr>
          <w:rFonts w:ascii="Times New Roman" w:hAnsi="Times New Roman"/>
          <w:b/>
          <w:bCs/>
          <w:sz w:val="24"/>
          <w:szCs w:val="24"/>
        </w:rPr>
        <w:t xml:space="preserve"> </w:t>
      </w:r>
    </w:p>
    <w:p w14:paraId="74E5E756" w14:textId="4A1DEC06" w:rsidR="00DD2F8D" w:rsidRPr="00CF137A" w:rsidRDefault="00DD2F8D" w:rsidP="001D6163">
      <w:pPr>
        <w:widowControl/>
        <w:suppressAutoHyphens w:val="0"/>
        <w:autoSpaceDN/>
        <w:jc w:val="both"/>
        <w:textAlignment w:val="auto"/>
        <w:rPr>
          <w:rFonts w:ascii="Times New Roman" w:hAnsi="Times New Roman"/>
          <w:sz w:val="24"/>
          <w:szCs w:val="24"/>
        </w:rPr>
      </w:pPr>
      <w:r w:rsidRPr="00CF137A">
        <w:rPr>
          <w:rFonts w:ascii="Times New Roman" w:hAnsi="Times New Roman"/>
          <w:sz w:val="24"/>
          <w:szCs w:val="24"/>
        </w:rPr>
        <w:t xml:space="preserve">Rappel : le </w:t>
      </w:r>
      <w:proofErr w:type="gramStart"/>
      <w:r w:rsidRPr="00CF137A">
        <w:rPr>
          <w:rFonts w:ascii="Times New Roman" w:hAnsi="Times New Roman"/>
          <w:sz w:val="24"/>
          <w:szCs w:val="24"/>
        </w:rPr>
        <w:t>tri sélectif</w:t>
      </w:r>
      <w:proofErr w:type="gramEnd"/>
      <w:r w:rsidRPr="00CF137A">
        <w:rPr>
          <w:rFonts w:ascii="Times New Roman" w:hAnsi="Times New Roman"/>
          <w:sz w:val="24"/>
          <w:szCs w:val="24"/>
        </w:rPr>
        <w:t xml:space="preserve"> est organisé́ par le lot GO/ Rappeler votre engagement au respect du cahier de tri et la formation / Information de votre personnel. </w:t>
      </w:r>
    </w:p>
    <w:p w14:paraId="449FCCB8" w14:textId="77777777" w:rsidR="00DD2F8D" w:rsidRPr="00CF137A" w:rsidRDefault="00DD2F8D" w:rsidP="001D6163">
      <w:pPr>
        <w:widowControl/>
        <w:suppressAutoHyphens w:val="0"/>
        <w:autoSpaceDN/>
        <w:jc w:val="both"/>
        <w:textAlignment w:val="auto"/>
        <w:rPr>
          <w:rFonts w:ascii="Times New Roman" w:hAnsi="Times New Roman"/>
          <w:sz w:val="24"/>
          <w:szCs w:val="24"/>
        </w:rPr>
      </w:pPr>
      <w:r w:rsidRPr="00CF137A">
        <w:rPr>
          <w:rFonts w:ascii="Times New Roman" w:hAnsi="Times New Roman"/>
          <w:b/>
          <w:bCs/>
          <w:sz w:val="24"/>
          <w:szCs w:val="24"/>
        </w:rPr>
        <w:t xml:space="preserve">9. Protection des ouvrages </w:t>
      </w:r>
    </w:p>
    <w:p w14:paraId="08FCC739" w14:textId="77777777" w:rsidR="00DD2F8D" w:rsidRPr="00CF137A" w:rsidRDefault="00DD2F8D" w:rsidP="001D6163">
      <w:pPr>
        <w:widowControl/>
        <w:suppressAutoHyphens w:val="0"/>
        <w:autoSpaceDN/>
        <w:jc w:val="both"/>
        <w:textAlignment w:val="auto"/>
        <w:rPr>
          <w:rFonts w:ascii="Times New Roman" w:hAnsi="Times New Roman"/>
          <w:sz w:val="24"/>
          <w:szCs w:val="24"/>
        </w:rPr>
      </w:pPr>
      <w:r w:rsidRPr="00CF137A">
        <w:rPr>
          <w:rFonts w:ascii="Times New Roman" w:hAnsi="Times New Roman"/>
          <w:sz w:val="24"/>
          <w:szCs w:val="24"/>
        </w:rPr>
        <w:t xml:space="preserve">Quelles dispositions prenez-vous jusqu’aux OPR ? </w:t>
      </w:r>
    </w:p>
    <w:p w14:paraId="6473891B" w14:textId="6F94D93B" w:rsidR="00DD2F8D" w:rsidRPr="00CF137A" w:rsidRDefault="00DD2F8D" w:rsidP="001D6163">
      <w:pPr>
        <w:widowControl/>
        <w:suppressAutoHyphens w:val="0"/>
        <w:autoSpaceDN/>
        <w:jc w:val="both"/>
        <w:textAlignment w:val="auto"/>
        <w:rPr>
          <w:rFonts w:ascii="Times New Roman" w:hAnsi="Times New Roman"/>
          <w:sz w:val="24"/>
          <w:szCs w:val="24"/>
        </w:rPr>
      </w:pPr>
      <w:r w:rsidRPr="00CF137A">
        <w:rPr>
          <w:rFonts w:ascii="Times New Roman" w:hAnsi="Times New Roman"/>
          <w:b/>
          <w:bCs/>
          <w:sz w:val="24"/>
          <w:szCs w:val="24"/>
        </w:rPr>
        <w:t>10. Autocontrôles</w:t>
      </w:r>
    </w:p>
    <w:p w14:paraId="3F5FC1E0" w14:textId="77777777" w:rsidR="00DD2F8D" w:rsidRPr="00CF137A" w:rsidRDefault="00DD2F8D" w:rsidP="001D6163">
      <w:pPr>
        <w:widowControl/>
        <w:suppressAutoHyphens w:val="0"/>
        <w:autoSpaceDN/>
        <w:jc w:val="both"/>
        <w:textAlignment w:val="auto"/>
        <w:rPr>
          <w:rFonts w:ascii="Times New Roman" w:hAnsi="Times New Roman"/>
          <w:sz w:val="24"/>
          <w:szCs w:val="24"/>
        </w:rPr>
      </w:pPr>
      <w:r w:rsidRPr="00CF137A">
        <w:rPr>
          <w:rFonts w:ascii="Times New Roman" w:hAnsi="Times New Roman"/>
          <w:sz w:val="24"/>
          <w:szCs w:val="24"/>
        </w:rPr>
        <w:t xml:space="preserve">Comment </w:t>
      </w:r>
      <w:proofErr w:type="spellStart"/>
      <w:r w:rsidRPr="00CF137A">
        <w:rPr>
          <w:rFonts w:ascii="Times New Roman" w:hAnsi="Times New Roman"/>
          <w:sz w:val="24"/>
          <w:szCs w:val="24"/>
        </w:rPr>
        <w:t>procédez-vous</w:t>
      </w:r>
      <w:proofErr w:type="spellEnd"/>
      <w:r w:rsidRPr="00CF137A">
        <w:rPr>
          <w:rFonts w:ascii="Times New Roman" w:hAnsi="Times New Roman"/>
          <w:sz w:val="24"/>
          <w:szCs w:val="24"/>
        </w:rPr>
        <w:t xml:space="preserve"> ? </w:t>
      </w:r>
    </w:p>
    <w:p w14:paraId="579D8BE2" w14:textId="074580A6" w:rsidR="00DD2F8D" w:rsidRPr="00CF137A" w:rsidRDefault="00DD2F8D" w:rsidP="001D6163">
      <w:pPr>
        <w:widowControl/>
        <w:suppressAutoHyphens w:val="0"/>
        <w:autoSpaceDN/>
        <w:jc w:val="both"/>
        <w:textAlignment w:val="auto"/>
        <w:rPr>
          <w:rFonts w:ascii="Times New Roman" w:hAnsi="Times New Roman"/>
          <w:sz w:val="24"/>
          <w:szCs w:val="24"/>
        </w:rPr>
      </w:pPr>
      <w:r w:rsidRPr="00CF137A">
        <w:rPr>
          <w:rFonts w:ascii="Times New Roman" w:hAnsi="Times New Roman"/>
          <w:b/>
          <w:bCs/>
          <w:sz w:val="24"/>
          <w:szCs w:val="24"/>
        </w:rPr>
        <w:t xml:space="preserve">Sous-Critère Qualité́ des matériaux = </w:t>
      </w:r>
      <w:r w:rsidR="001D6163" w:rsidRPr="00CF137A">
        <w:rPr>
          <w:rFonts w:ascii="Times New Roman" w:hAnsi="Times New Roman"/>
          <w:b/>
          <w:bCs/>
          <w:sz w:val="24"/>
          <w:szCs w:val="24"/>
        </w:rPr>
        <w:t>2</w:t>
      </w:r>
      <w:r w:rsidRPr="00CF137A">
        <w:rPr>
          <w:rFonts w:ascii="Times New Roman" w:hAnsi="Times New Roman"/>
          <w:b/>
          <w:bCs/>
          <w:sz w:val="24"/>
          <w:szCs w:val="24"/>
        </w:rPr>
        <w:t xml:space="preserve">0 points </w:t>
      </w:r>
    </w:p>
    <w:p w14:paraId="520C5151" w14:textId="5B47F2B2" w:rsidR="00DD2F8D" w:rsidRPr="00CF137A" w:rsidRDefault="00DD2F8D" w:rsidP="001D6163">
      <w:pPr>
        <w:widowControl/>
        <w:numPr>
          <w:ilvl w:val="0"/>
          <w:numId w:val="32"/>
        </w:numPr>
        <w:suppressAutoHyphens w:val="0"/>
        <w:autoSpaceDN/>
        <w:jc w:val="both"/>
        <w:textAlignment w:val="auto"/>
        <w:rPr>
          <w:rFonts w:ascii="Times New Roman" w:hAnsi="Times New Roman"/>
          <w:sz w:val="24"/>
          <w:szCs w:val="24"/>
        </w:rPr>
      </w:pPr>
      <w:r w:rsidRPr="00CF137A">
        <w:rPr>
          <w:rFonts w:ascii="Times New Roman" w:hAnsi="Times New Roman"/>
          <w:sz w:val="24"/>
          <w:szCs w:val="24"/>
        </w:rPr>
        <w:sym w:font="Symbol" w:char="F096"/>
      </w:r>
      <w:r w:rsidRPr="00CF137A">
        <w:rPr>
          <w:rFonts w:ascii="Times New Roman" w:hAnsi="Times New Roman"/>
          <w:sz w:val="24"/>
          <w:szCs w:val="24"/>
        </w:rPr>
        <w:t xml:space="preserve">  </w:t>
      </w:r>
      <w:r w:rsidR="003C5EC0" w:rsidRPr="00CF137A">
        <w:rPr>
          <w:rFonts w:ascii="Times New Roman" w:hAnsi="Times New Roman"/>
          <w:sz w:val="24"/>
          <w:szCs w:val="24"/>
        </w:rPr>
        <w:t>2</w:t>
      </w:r>
      <w:r w:rsidRPr="00CF137A">
        <w:rPr>
          <w:rFonts w:ascii="Times New Roman" w:hAnsi="Times New Roman"/>
          <w:sz w:val="24"/>
          <w:szCs w:val="24"/>
        </w:rPr>
        <w:t xml:space="preserve">0 points maximum pour une liste des matériels et matériaux (avec fiches techniques) ou au prorata des fiches fournies sur base liste présentée dans le </w:t>
      </w:r>
      <w:r w:rsidRPr="00CF137A">
        <w:rPr>
          <w:rFonts w:ascii="Times New Roman" w:hAnsi="Times New Roman"/>
          <w:b/>
          <w:bCs/>
          <w:sz w:val="24"/>
          <w:szCs w:val="24"/>
        </w:rPr>
        <w:t xml:space="preserve">cadre du mémoire technique </w:t>
      </w:r>
      <w:r w:rsidRPr="00CF137A">
        <w:rPr>
          <w:rFonts w:ascii="Times New Roman" w:hAnsi="Times New Roman"/>
          <w:sz w:val="24"/>
          <w:szCs w:val="24"/>
        </w:rPr>
        <w:t xml:space="preserve">(exemple : si 10 fiches fournies sur 20 demandées = 20 points), ce qui correspond, pour cet exemple, à 2 points par fiche. </w:t>
      </w:r>
    </w:p>
    <w:p w14:paraId="3D985FB3" w14:textId="4AE40B78" w:rsidR="00DD2F8D" w:rsidRPr="00CF137A" w:rsidRDefault="00DD2F8D" w:rsidP="001D6163">
      <w:pPr>
        <w:widowControl/>
        <w:numPr>
          <w:ilvl w:val="0"/>
          <w:numId w:val="32"/>
        </w:numPr>
        <w:suppressAutoHyphens w:val="0"/>
        <w:autoSpaceDN/>
        <w:jc w:val="both"/>
        <w:textAlignment w:val="auto"/>
        <w:rPr>
          <w:rFonts w:ascii="Times New Roman" w:hAnsi="Times New Roman"/>
          <w:sz w:val="24"/>
          <w:szCs w:val="24"/>
        </w:rPr>
      </w:pPr>
      <w:r w:rsidRPr="00CF137A">
        <w:rPr>
          <w:rFonts w:ascii="Times New Roman" w:hAnsi="Times New Roman"/>
          <w:sz w:val="24"/>
          <w:szCs w:val="24"/>
        </w:rPr>
        <w:sym w:font="Symbol" w:char="F096"/>
      </w:r>
      <w:r w:rsidRPr="00CF137A">
        <w:rPr>
          <w:rFonts w:ascii="Times New Roman" w:hAnsi="Times New Roman"/>
          <w:sz w:val="24"/>
          <w:szCs w:val="24"/>
        </w:rPr>
        <w:t xml:space="preserve">  Fiche technique acceptable d’un point de vue technique mais inférieure aux qualités et descriptions précisées dans les CCTP, réduction de le 50 % de la valeur du point. </w:t>
      </w:r>
      <w:r w:rsidRPr="00CF137A">
        <w:rPr>
          <w:rFonts w:ascii="Times New Roman" w:hAnsi="Times New Roman"/>
          <w:sz w:val="24"/>
          <w:szCs w:val="24"/>
        </w:rPr>
        <w:lastRenderedPageBreak/>
        <w:t xml:space="preserve">Pour l’exemple ci-dessus, le point sera ramené́ à 1 point par fiche présentant un produit acceptable mais de qualité inférieure. </w:t>
      </w:r>
    </w:p>
    <w:p w14:paraId="6FC0AAC7" w14:textId="77777777" w:rsidR="001D6163" w:rsidRPr="00CF137A" w:rsidRDefault="00DD2F8D" w:rsidP="001D6163">
      <w:pPr>
        <w:widowControl/>
        <w:numPr>
          <w:ilvl w:val="0"/>
          <w:numId w:val="32"/>
        </w:numPr>
        <w:suppressAutoHyphens w:val="0"/>
        <w:autoSpaceDN/>
        <w:jc w:val="both"/>
        <w:textAlignment w:val="auto"/>
        <w:rPr>
          <w:rFonts w:ascii="Times New Roman" w:hAnsi="Times New Roman"/>
          <w:sz w:val="24"/>
          <w:szCs w:val="24"/>
        </w:rPr>
      </w:pPr>
      <w:r w:rsidRPr="00CF137A">
        <w:rPr>
          <w:rFonts w:ascii="Times New Roman" w:hAnsi="Times New Roman"/>
          <w:sz w:val="24"/>
          <w:szCs w:val="24"/>
        </w:rPr>
        <w:sym w:font="Symbol" w:char="F096"/>
      </w:r>
      <w:r w:rsidRPr="00CF137A">
        <w:rPr>
          <w:rFonts w:ascii="Times New Roman" w:hAnsi="Times New Roman"/>
          <w:sz w:val="24"/>
          <w:szCs w:val="24"/>
        </w:rPr>
        <w:t xml:space="preserve">  0 point si absence de documentation ou documentation ne correspondant pas au cahier des charge</w:t>
      </w:r>
    </w:p>
    <w:p w14:paraId="18E7DDAF" w14:textId="4D6474B0" w:rsidR="00DD2F8D" w:rsidRPr="00CF137A" w:rsidRDefault="00DD2F8D" w:rsidP="001D6163">
      <w:pPr>
        <w:widowControl/>
        <w:numPr>
          <w:ilvl w:val="0"/>
          <w:numId w:val="32"/>
        </w:numPr>
        <w:suppressAutoHyphens w:val="0"/>
        <w:autoSpaceDN/>
        <w:jc w:val="both"/>
        <w:textAlignment w:val="auto"/>
        <w:rPr>
          <w:rFonts w:ascii="Times New Roman" w:hAnsi="Times New Roman"/>
          <w:sz w:val="24"/>
          <w:szCs w:val="24"/>
        </w:rPr>
      </w:pPr>
      <w:r w:rsidRPr="00CF137A">
        <w:rPr>
          <w:rFonts w:ascii="Times New Roman" w:hAnsi="Times New Roman"/>
          <w:b/>
          <w:bCs/>
          <w:sz w:val="24"/>
          <w:szCs w:val="24"/>
        </w:rPr>
        <w:t xml:space="preserve">Attention : les fiches de produits fantaisistes ne correspondants pas aux attendus du marché́ et les fiches en langues étrangères ne sont pas prises en compte. </w:t>
      </w:r>
    </w:p>
    <w:p w14:paraId="12304257" w14:textId="6B5AEEFB" w:rsidR="00DD2F8D" w:rsidRPr="00CF137A" w:rsidRDefault="00DD2F8D" w:rsidP="001D6163">
      <w:pPr>
        <w:widowControl/>
        <w:suppressAutoHyphens w:val="0"/>
        <w:autoSpaceDN/>
        <w:ind w:left="720"/>
        <w:jc w:val="both"/>
        <w:textAlignment w:val="auto"/>
        <w:rPr>
          <w:rFonts w:ascii="Times New Roman" w:hAnsi="Times New Roman"/>
          <w:sz w:val="24"/>
          <w:szCs w:val="24"/>
        </w:rPr>
      </w:pPr>
      <w:r w:rsidRPr="00CF137A">
        <w:rPr>
          <w:rFonts w:ascii="Times New Roman" w:hAnsi="Times New Roman"/>
          <w:sz w:val="24"/>
          <w:szCs w:val="24"/>
        </w:rPr>
        <w:t xml:space="preserve">L'offre la mieux classée sera donc retenue à titre provisoire en attendant que le ou les candidats produisent les certificats et attestations des articles R. 2143-6 à R. 2143-10 du Code de la commande publique. </w:t>
      </w:r>
    </w:p>
    <w:p w14:paraId="606DCD2F" w14:textId="1F389E3F" w:rsidR="00DD2F8D" w:rsidRPr="00CF137A" w:rsidRDefault="00DD2F8D" w:rsidP="001D6163">
      <w:pPr>
        <w:widowControl/>
        <w:suppressAutoHyphens w:val="0"/>
        <w:autoSpaceDN/>
        <w:ind w:left="720"/>
        <w:jc w:val="both"/>
        <w:textAlignment w:val="auto"/>
        <w:rPr>
          <w:rFonts w:ascii="Times New Roman" w:hAnsi="Times New Roman"/>
          <w:sz w:val="24"/>
          <w:szCs w:val="24"/>
        </w:rPr>
      </w:pPr>
      <w:r w:rsidRPr="00CF137A">
        <w:rPr>
          <w:rFonts w:ascii="Times New Roman" w:hAnsi="Times New Roman"/>
          <w:sz w:val="24"/>
          <w:szCs w:val="24"/>
        </w:rPr>
        <w:t xml:space="preserve">Le délai imparti par le pouvoir adjudicateur pour remettre ces documents ne pourra être supérieur à 5 jours. Une attestation d'assurance décennale devra également être produite dans le même délai. </w:t>
      </w:r>
    </w:p>
    <w:p w14:paraId="67F7F00A" w14:textId="77777777" w:rsidR="00DD2F8D" w:rsidRPr="00CF137A" w:rsidRDefault="00DD2F8D" w:rsidP="001D6163">
      <w:pPr>
        <w:pStyle w:val="RedaliaNormal"/>
        <w:rPr>
          <w:color w:val="FF0000"/>
        </w:rPr>
      </w:pPr>
    </w:p>
    <w:p w14:paraId="051F7C2F" w14:textId="78D615B7" w:rsidR="009E7C98" w:rsidRPr="00CF137A" w:rsidRDefault="009E7C98" w:rsidP="001D6163">
      <w:pPr>
        <w:pStyle w:val="RedaliaNormal"/>
        <w:rPr>
          <w:b/>
          <w:bCs/>
          <w:color w:val="000000" w:themeColor="text1"/>
        </w:rPr>
      </w:pPr>
      <w:r w:rsidRPr="00CF137A">
        <w:rPr>
          <w:b/>
          <w:bCs/>
          <w:color w:val="000000" w:themeColor="text1"/>
        </w:rPr>
        <w:t>Visite sur site :</w:t>
      </w:r>
    </w:p>
    <w:p w14:paraId="0EC3E35D" w14:textId="79B7584D" w:rsidR="009E7C98" w:rsidRPr="009E7C98" w:rsidRDefault="00B25529" w:rsidP="001D6163">
      <w:pPr>
        <w:pStyle w:val="RedaliaNormal"/>
        <w:rPr>
          <w:color w:val="000000" w:themeColor="text1"/>
        </w:rPr>
      </w:pPr>
      <w:r w:rsidRPr="00CF137A">
        <w:rPr>
          <w:color w:val="000000" w:themeColor="text1"/>
        </w:rPr>
        <w:t>Visite sur site obligatoire pour les lots 01-Terrassement-VRD-Aménagement et 02-Fondations spéciales. Prendre rendez-vous avec le maître d’ouvrage</w:t>
      </w:r>
      <w:r w:rsidR="00A03748">
        <w:rPr>
          <w:color w:val="000000" w:themeColor="text1"/>
        </w:rPr>
        <w:t xml:space="preserve"> (M. Jimmy PETITJEAN </w:t>
      </w:r>
      <w:r w:rsidR="003C4344">
        <w:rPr>
          <w:color w:val="000000" w:themeColor="text1"/>
        </w:rPr>
        <w:t>-</w:t>
      </w:r>
      <w:r w:rsidR="00A03748">
        <w:rPr>
          <w:color w:val="000000" w:themeColor="text1"/>
        </w:rPr>
        <w:t xml:space="preserve"> 06.08.90.</w:t>
      </w:r>
      <w:r w:rsidR="005F7E0F">
        <w:rPr>
          <w:color w:val="000000" w:themeColor="text1"/>
        </w:rPr>
        <w:t>43.81).</w:t>
      </w:r>
    </w:p>
    <w:p w14:paraId="280220AF" w14:textId="77777777" w:rsidR="00C5530F" w:rsidRPr="009A2750" w:rsidRDefault="00C5530F">
      <w:pPr>
        <w:pStyle w:val="RedaliaNormal"/>
        <w:rPr>
          <w:color w:val="FF0000"/>
        </w:rPr>
      </w:pPr>
    </w:p>
    <w:p w14:paraId="1BA5CA32" w14:textId="7C6BDAAB" w:rsidR="0063567E" w:rsidRPr="00C5530F" w:rsidRDefault="0031217D">
      <w:pPr>
        <w:pStyle w:val="RedaliaNormal"/>
      </w:pPr>
      <w:r w:rsidRPr="00C5530F">
        <w:t xml:space="preserve">Les modalités de la négociation sont définies à l'article </w:t>
      </w:r>
      <w:r w:rsidRPr="00C5530F">
        <w:rPr>
          <w:i/>
        </w:rPr>
        <w:t>Procédure de passation</w:t>
      </w:r>
      <w:r w:rsidRPr="00C5530F">
        <w:t>.</w:t>
      </w:r>
    </w:p>
    <w:p w14:paraId="1BA5CA33" w14:textId="77777777" w:rsidR="0063567E" w:rsidRPr="00C5530F" w:rsidRDefault="0031217D">
      <w:pPr>
        <w:pStyle w:val="RedaliaNormal"/>
      </w:pPr>
      <w:r w:rsidRPr="00C5530F">
        <w:t xml:space="preserve">Le pouvoir adjudicateur écarte les offres inappropriées, et </w:t>
      </w:r>
      <w:r w:rsidRPr="00C5530F">
        <w:rPr>
          <w:b/>
          <w:bCs/>
        </w:rPr>
        <w:t xml:space="preserve">après négociation éventuelle avec l’ensemble des candidats retenus, </w:t>
      </w:r>
      <w:r w:rsidRPr="00C5530F">
        <w:t>choisira l’offre économiquement la plus avantageuse</w:t>
      </w:r>
      <w:r w:rsidRPr="00C5530F">
        <w:rPr>
          <w:b/>
          <w:bCs/>
        </w:rPr>
        <w:t>.</w:t>
      </w:r>
    </w:p>
    <w:p w14:paraId="1BA5CA34" w14:textId="77777777" w:rsidR="0063567E" w:rsidRPr="00A46C82" w:rsidRDefault="0031217D">
      <w:pPr>
        <w:pStyle w:val="RedaliaTitre2"/>
      </w:pPr>
      <w:bookmarkStart w:id="41" w:name="_Toc170898458"/>
      <w:bookmarkStart w:id="42" w:name="__RefHeading__22251_280481371"/>
      <w:bookmarkEnd w:id="41"/>
      <w:r w:rsidRPr="00A46C82">
        <w:t>Attribution du marché</w:t>
      </w:r>
      <w:bookmarkEnd w:id="42"/>
    </w:p>
    <w:p w14:paraId="1BA5CA35" w14:textId="77777777" w:rsidR="0063567E" w:rsidRPr="00A46C82" w:rsidRDefault="0031217D">
      <w:pPr>
        <w:pStyle w:val="RedaliaNormal"/>
      </w:pPr>
      <w:r w:rsidRPr="00A46C82">
        <w:t xml:space="preserve">La réglementation ne fait plus obligation à l’opérateur économique, soumissionnant seul ou sous forme de groupement, de signer son offre. Toutefois, </w:t>
      </w:r>
      <w:r w:rsidRPr="00A46C82">
        <w:rPr>
          <w:b/>
        </w:rPr>
        <w:t>la signature de l'offre du candidat attributaire devra impérativement intervenir au plus tard à l'attribution du marché.</w:t>
      </w:r>
    </w:p>
    <w:p w14:paraId="1BA5CA36" w14:textId="77777777" w:rsidR="0063567E" w:rsidRPr="00A46C82" w:rsidRDefault="0063567E">
      <w:pPr>
        <w:pStyle w:val="RedaliaNormal"/>
        <w:rPr>
          <w:b/>
        </w:rPr>
      </w:pPr>
    </w:p>
    <w:p w14:paraId="1BA5CA37" w14:textId="77777777" w:rsidR="0063567E" w:rsidRPr="00A46C82" w:rsidRDefault="0031217D">
      <w:pPr>
        <w:pStyle w:val="RedaliaNormal"/>
      </w:pPr>
      <w:r w:rsidRPr="00A46C82">
        <w:t>Conformément à l'article R. 2144-7 du Code de la commande publique, le candidat auquel il est envisagé d'attribuer le marché devra fournir les documents qui justifient qu’il n’entre pas dans les cas d’interdiction de soumissionner dans un délai de 10 jours à compter de la demande du pouvoir adjudicateur.</w:t>
      </w:r>
    </w:p>
    <w:p w14:paraId="1BA5CA38" w14:textId="77777777" w:rsidR="0063567E" w:rsidRPr="00A46C82" w:rsidRDefault="0031217D">
      <w:pPr>
        <w:pStyle w:val="RedaliaNormal"/>
      </w:pPr>
      <w:r w:rsidRPr="00A46C82">
        <w:t>À défaut de produire ces documents dans le délai fixé, l’offre du candidat attributaire sera rejetée et il sera éliminé.</w:t>
      </w:r>
    </w:p>
    <w:p w14:paraId="1BA5CA39" w14:textId="77777777" w:rsidR="0063567E" w:rsidRPr="00A46C82" w:rsidRDefault="0031217D">
      <w:pPr>
        <w:pStyle w:val="RedaliaNormal"/>
      </w:pPr>
      <w:r w:rsidRPr="00A46C82">
        <w:t>Le candidat suivant sera alors sollicité pour produire les certificats et attestations nécessaires avant que le marché ne lui soit attribué.</w:t>
      </w:r>
    </w:p>
    <w:p w14:paraId="1BA5CA3A" w14:textId="77777777" w:rsidR="0063567E" w:rsidRPr="004848D7" w:rsidRDefault="0031217D">
      <w:pPr>
        <w:pStyle w:val="RedaliaTitre1"/>
      </w:pPr>
      <w:bookmarkStart w:id="43" w:name="__RefHeading__22253_280481371"/>
      <w:bookmarkStart w:id="44" w:name="_Toc113959355"/>
      <w:r w:rsidRPr="004848D7">
        <w:t>Conditions d’envoi et de remise des candidatures et des offres</w:t>
      </w:r>
      <w:bookmarkEnd w:id="43"/>
      <w:bookmarkEnd w:id="44"/>
    </w:p>
    <w:p w14:paraId="1BA5CA3B" w14:textId="5544121F" w:rsidR="0063567E" w:rsidRPr="004848D7" w:rsidRDefault="0031217D">
      <w:pPr>
        <w:pStyle w:val="RedaliaNormal"/>
      </w:pPr>
      <w:r w:rsidRPr="004848D7">
        <w:t>La transmission des documents par voie électronique ne peut être réalisée qu’à l’adresse suivante : http://</w:t>
      </w:r>
      <w:r w:rsidR="00A46C82" w:rsidRPr="004848D7">
        <w:t>www.klekoon.com</w:t>
      </w:r>
      <w:r w:rsidRPr="004848D7">
        <w:t>.</w:t>
      </w:r>
    </w:p>
    <w:p w14:paraId="1BA5CA3C" w14:textId="77777777" w:rsidR="0063567E" w:rsidRPr="004848D7" w:rsidRDefault="0063567E">
      <w:pPr>
        <w:pStyle w:val="RedaliaNormal"/>
      </w:pPr>
    </w:p>
    <w:p w14:paraId="1BA5CA3D" w14:textId="77777777" w:rsidR="0063567E" w:rsidRPr="004848D7" w:rsidRDefault="0031217D">
      <w:pPr>
        <w:pStyle w:val="RedaliaNormal"/>
      </w:pPr>
      <w:r w:rsidRPr="004848D7">
        <w:t>Le fuseau horaire de référence sera celui de (GMT+</w:t>
      </w:r>
      <w:proofErr w:type="gramStart"/>
      <w:r w:rsidRPr="004848D7">
        <w:t>01:</w:t>
      </w:r>
      <w:proofErr w:type="gramEnd"/>
      <w:r w:rsidRPr="004848D7">
        <w:t>00) Paris, Bruxelles, Copenhague, Madrid.</w:t>
      </w:r>
    </w:p>
    <w:p w14:paraId="1BA5CA3E" w14:textId="77777777" w:rsidR="0063567E" w:rsidRDefault="0031217D">
      <w:pPr>
        <w:pStyle w:val="RedaliaNormal"/>
      </w:pPr>
      <w:r w:rsidRPr="004848D7">
        <w:t>Chaque transmission fera l’objet d’une date certaine de réception et d’un accusé de réception électronique.</w:t>
      </w:r>
    </w:p>
    <w:p w14:paraId="46782498" w14:textId="77777777" w:rsidR="00657739" w:rsidRDefault="00657739">
      <w:pPr>
        <w:pStyle w:val="RedaliaNormal"/>
      </w:pPr>
    </w:p>
    <w:p w14:paraId="222B2501" w14:textId="77777777" w:rsidR="00657739" w:rsidRPr="004848D7" w:rsidRDefault="00657739">
      <w:pPr>
        <w:pStyle w:val="RedaliaNormal"/>
      </w:pPr>
    </w:p>
    <w:p w14:paraId="1BA5CA3F" w14:textId="77777777" w:rsidR="0063567E" w:rsidRPr="008D2A55" w:rsidRDefault="0063567E">
      <w:pPr>
        <w:pStyle w:val="RedaliaNormal"/>
      </w:pPr>
    </w:p>
    <w:p w14:paraId="1BA5CA41" w14:textId="6119C2FF" w:rsidR="0063567E" w:rsidRPr="008D2A55" w:rsidRDefault="0031217D">
      <w:pPr>
        <w:pStyle w:val="RedaliaNormal"/>
      </w:pPr>
      <w:r w:rsidRPr="008D2A55">
        <w:rPr>
          <w:u w:val="single"/>
        </w:rPr>
        <w:lastRenderedPageBreak/>
        <w:t>Formats de fichiers acceptés</w:t>
      </w:r>
      <w:r w:rsidRPr="008D2A55">
        <w:t xml:space="preserve"> :</w:t>
      </w:r>
    </w:p>
    <w:p w14:paraId="1BA5CA42" w14:textId="77777777" w:rsidR="0063567E" w:rsidRPr="008D2A55" w:rsidRDefault="0031217D">
      <w:pPr>
        <w:pStyle w:val="RedaliaNormal"/>
      </w:pPr>
      <w:r w:rsidRPr="008D2A55">
        <w:t>En cas de transmission de réponse par voie électronique, les documents fournis doivent être dans l’un des formats suivants, sous peine d’irrecevabilité de l’offre :</w:t>
      </w:r>
    </w:p>
    <w:p w14:paraId="1BA5CA43" w14:textId="77777777" w:rsidR="0063567E" w:rsidRPr="008D2A55" w:rsidRDefault="0031217D">
      <w:pPr>
        <w:pStyle w:val="RedaliaRetraitavecpuce"/>
      </w:pPr>
      <w:r w:rsidRPr="008D2A55">
        <w:t>Format bureautique propriétaire de Microsoft compatible version 2003 (.doc, .</w:t>
      </w:r>
      <w:proofErr w:type="spellStart"/>
      <w:r w:rsidRPr="008D2A55">
        <w:t>xls</w:t>
      </w:r>
      <w:proofErr w:type="spellEnd"/>
      <w:r w:rsidRPr="008D2A55">
        <w:t xml:space="preserve"> et .</w:t>
      </w:r>
      <w:proofErr w:type="spellStart"/>
      <w:r w:rsidRPr="008D2A55">
        <w:t>ppt</w:t>
      </w:r>
      <w:proofErr w:type="spellEnd"/>
      <w:r w:rsidRPr="008D2A55">
        <w:t>) ;</w:t>
      </w:r>
    </w:p>
    <w:p w14:paraId="1BA5CA44" w14:textId="77777777" w:rsidR="0063567E" w:rsidRPr="008D2A55" w:rsidRDefault="0031217D">
      <w:pPr>
        <w:pStyle w:val="RedaliaRetraitavecpuce"/>
      </w:pPr>
      <w:r w:rsidRPr="008D2A55">
        <w:t>Format texte universel (.</w:t>
      </w:r>
      <w:proofErr w:type="spellStart"/>
      <w:r w:rsidRPr="008D2A55">
        <w:t>rtf</w:t>
      </w:r>
      <w:proofErr w:type="spellEnd"/>
      <w:r w:rsidRPr="008D2A55">
        <w:t>) ;</w:t>
      </w:r>
    </w:p>
    <w:p w14:paraId="1BA5CA45" w14:textId="77777777" w:rsidR="0063567E" w:rsidRPr="008D2A55" w:rsidRDefault="0031217D">
      <w:pPr>
        <w:pStyle w:val="RedaliaRetraitavecpuce"/>
      </w:pPr>
      <w:r w:rsidRPr="008D2A55">
        <w:t>Format PDF (.</w:t>
      </w:r>
      <w:proofErr w:type="spellStart"/>
      <w:r w:rsidRPr="008D2A55">
        <w:t>pdf</w:t>
      </w:r>
      <w:proofErr w:type="spellEnd"/>
      <w:r w:rsidRPr="008D2A55">
        <w:t>) ;</w:t>
      </w:r>
    </w:p>
    <w:p w14:paraId="1BA5CA46" w14:textId="77777777" w:rsidR="0063567E" w:rsidRPr="008D2A55" w:rsidRDefault="0031217D">
      <w:pPr>
        <w:pStyle w:val="RedaliaRetraitavecpuce"/>
      </w:pPr>
      <w:r w:rsidRPr="008D2A55">
        <w:t>Formats images (.gif, .jpg et .png) ;</w:t>
      </w:r>
    </w:p>
    <w:p w14:paraId="1BA5CA47" w14:textId="77777777" w:rsidR="0063567E" w:rsidRPr="008D2A55" w:rsidRDefault="0031217D">
      <w:pPr>
        <w:pStyle w:val="RedaliaRetraitavecpuce"/>
      </w:pPr>
      <w:r w:rsidRPr="008D2A55">
        <w:t>Format pour les plans (.</w:t>
      </w:r>
      <w:proofErr w:type="spellStart"/>
      <w:r w:rsidRPr="008D2A55">
        <w:t>dxf</w:t>
      </w:r>
      <w:proofErr w:type="spellEnd"/>
      <w:r w:rsidRPr="008D2A55">
        <w:t xml:space="preserve"> et .</w:t>
      </w:r>
      <w:proofErr w:type="spellStart"/>
      <w:r w:rsidRPr="008D2A55">
        <w:t>dwg</w:t>
      </w:r>
      <w:proofErr w:type="spellEnd"/>
      <w:r w:rsidRPr="008D2A55">
        <w:t>).</w:t>
      </w:r>
    </w:p>
    <w:p w14:paraId="1BA5CA48" w14:textId="77777777" w:rsidR="0063567E" w:rsidRPr="008D2A55" w:rsidRDefault="0063567E">
      <w:pPr>
        <w:pStyle w:val="RedaliaNormal"/>
      </w:pPr>
    </w:p>
    <w:p w14:paraId="1BA5CA49" w14:textId="77777777" w:rsidR="0063567E" w:rsidRPr="008D2A55" w:rsidRDefault="0031217D">
      <w:pPr>
        <w:pStyle w:val="RedaliaNormal"/>
      </w:pPr>
      <w:r w:rsidRPr="008D2A55">
        <w:t>Tout document contenant un virus informatique fera l’objet d’un archivage de sécurité et sera réputé n’avoir jamais été reçu. Le candidat concerné en sera informé. Dans ces conditions, il est conseillé aux candidats de soumettre leurs documents à un anti-virus avant envoi.</w:t>
      </w:r>
    </w:p>
    <w:p w14:paraId="1BA5CA4A" w14:textId="77777777" w:rsidR="0063567E" w:rsidRPr="008D2A55" w:rsidRDefault="0063567E">
      <w:pPr>
        <w:pStyle w:val="RedaliaNormal"/>
      </w:pPr>
    </w:p>
    <w:p w14:paraId="1BA5CA4C" w14:textId="1A209831" w:rsidR="0063567E" w:rsidRPr="008D2A55" w:rsidRDefault="0031217D">
      <w:pPr>
        <w:pStyle w:val="RedaliaNormal"/>
      </w:pPr>
      <w:r w:rsidRPr="008D2A55">
        <w:rPr>
          <w:u w:val="single"/>
        </w:rPr>
        <w:t>Copie de sauvegarde</w:t>
      </w:r>
      <w:r w:rsidRPr="008D2A55">
        <w:t xml:space="preserve"> :</w:t>
      </w:r>
    </w:p>
    <w:p w14:paraId="1BA5CA4D" w14:textId="77777777" w:rsidR="0063567E" w:rsidRPr="008D2A55" w:rsidRDefault="0031217D">
      <w:pPr>
        <w:pStyle w:val="RedaliaNormal"/>
      </w:pPr>
      <w:r w:rsidRPr="008D2A55">
        <w:t>Les candidats peuvent également transmettre, dans les délais impartis pour la remise des plis, une copie de sauvegarde :</w:t>
      </w:r>
    </w:p>
    <w:p w14:paraId="1BA5CA4E" w14:textId="77777777" w:rsidR="0063567E" w:rsidRPr="008D2A55" w:rsidRDefault="0031217D">
      <w:pPr>
        <w:pStyle w:val="RedaliaRetraitavecpuce"/>
      </w:pPr>
      <w:r w:rsidRPr="008D2A55">
        <w:t>Soit par voie électronique ;</w:t>
      </w:r>
    </w:p>
    <w:p w14:paraId="1BA5CA50" w14:textId="77777777" w:rsidR="0063567E" w:rsidRPr="008D2A55" w:rsidRDefault="0031217D">
      <w:pPr>
        <w:pStyle w:val="RedaliaRetraitavecpuce"/>
      </w:pPr>
      <w:r w:rsidRPr="008D2A55">
        <w:t xml:space="preserve">Soit sur </w:t>
      </w:r>
      <w:proofErr w:type="gramStart"/>
      <w:r w:rsidRPr="008D2A55">
        <w:t>support papier</w:t>
      </w:r>
      <w:proofErr w:type="gramEnd"/>
      <w:r w:rsidRPr="008D2A55">
        <w:t> ;</w:t>
      </w:r>
    </w:p>
    <w:p w14:paraId="1BA5CA51" w14:textId="77777777" w:rsidR="0063567E" w:rsidRPr="008D2A55" w:rsidRDefault="0031217D">
      <w:pPr>
        <w:pStyle w:val="RedaliaRetraitavecpuce"/>
      </w:pPr>
      <w:r w:rsidRPr="008D2A55">
        <w:t xml:space="preserve">Soit par voie dématérialisée (conformément aux exigences fixées dans l’annexe 8 du Code de la commande publique </w:t>
      </w:r>
      <w:proofErr w:type="gramStart"/>
      <w:r w:rsidRPr="008D2A55">
        <w:t>suite à</w:t>
      </w:r>
      <w:proofErr w:type="gramEnd"/>
      <w:r w:rsidRPr="008D2A55">
        <w:t xml:space="preserve"> l’arrêté du 14 avril 2023).</w:t>
      </w:r>
    </w:p>
    <w:p w14:paraId="1BA5CA52" w14:textId="77777777" w:rsidR="0063567E" w:rsidRPr="008D2A55" w:rsidRDefault="0063567E">
      <w:pPr>
        <w:pStyle w:val="RedaliaNormal"/>
      </w:pPr>
    </w:p>
    <w:p w14:paraId="1BA5CA53" w14:textId="77777777" w:rsidR="0063567E" w:rsidRPr="008D2A55" w:rsidRDefault="0031217D">
      <w:pPr>
        <w:pStyle w:val="RedaliaNormal"/>
      </w:pPr>
      <w:r w:rsidRPr="008D2A55">
        <w:t>La copie de sauvegarde, si elle est adressée par voie électronique, est transmise au moyen d’outils et de dispositifs conformes aux exigences minimales des moyens de communication électronique prévus par les dispositions de l’arrêté du 22 mars 2019 relatif aux exigences minimales des moyens de communication électronique utilisés dans la commande publique, ainsi que de l’arrêté du 14 avril 2023 (annexe 8 du Code de la commande publique).</w:t>
      </w:r>
    </w:p>
    <w:p w14:paraId="1BA5CA54" w14:textId="77777777" w:rsidR="0063567E" w:rsidRPr="008D2A55" w:rsidRDefault="0063567E">
      <w:pPr>
        <w:pStyle w:val="RedaliaNormal"/>
      </w:pPr>
    </w:p>
    <w:p w14:paraId="1BA5CA55" w14:textId="77777777" w:rsidR="0063567E" w:rsidRPr="008D2A55" w:rsidRDefault="0031217D">
      <w:pPr>
        <w:pStyle w:val="RedaliaNormal"/>
      </w:pPr>
      <w:r w:rsidRPr="008D2A55">
        <w:t xml:space="preserve">La copie de sauvegarde, si elle est adressée sur support papier ou sur support physique électronique, doit être transmise sous pli scellé, comporter obligatoirement, la mention : </w:t>
      </w:r>
      <w:r w:rsidRPr="008D2A55">
        <w:rPr>
          <w:i/>
          <w:iCs/>
        </w:rPr>
        <w:t>« copie de sauvegarde »</w:t>
      </w:r>
      <w:r w:rsidRPr="008D2A55">
        <w:t>, ainsi que l’identification de la procédure concernée et les coordonnées de l’entreprise, à l’adresse ci-dessous :</w:t>
      </w:r>
    </w:p>
    <w:p w14:paraId="1BA5CA56" w14:textId="77777777" w:rsidR="0063567E" w:rsidRPr="008D2A55" w:rsidRDefault="0031217D">
      <w:pPr>
        <w:pStyle w:val="RedaliaNormal"/>
        <w:jc w:val="center"/>
      </w:pPr>
      <w:r w:rsidRPr="008D2A55">
        <w:t>Service Départemental d'Incendie et de Secours</w:t>
      </w:r>
    </w:p>
    <w:p w14:paraId="1BA5CA57" w14:textId="77777777" w:rsidR="0063567E" w:rsidRPr="008D2A55" w:rsidRDefault="0031217D">
      <w:pPr>
        <w:pStyle w:val="RedaliaNormal"/>
        <w:jc w:val="center"/>
      </w:pPr>
      <w:r w:rsidRPr="008D2A55">
        <w:t>Service Juridique Assemblées</w:t>
      </w:r>
    </w:p>
    <w:p w14:paraId="1BA5CA58" w14:textId="77777777" w:rsidR="0063567E" w:rsidRPr="008D2A55" w:rsidRDefault="0031217D">
      <w:pPr>
        <w:pStyle w:val="RedaliaNormal"/>
        <w:jc w:val="center"/>
      </w:pPr>
      <w:r w:rsidRPr="008D2A55">
        <w:t xml:space="preserve">2 </w:t>
      </w:r>
      <w:proofErr w:type="gramStart"/>
      <w:r w:rsidRPr="008D2A55">
        <w:t>voie</w:t>
      </w:r>
      <w:proofErr w:type="gramEnd"/>
      <w:r w:rsidRPr="008D2A55">
        <w:t xml:space="preserve"> Husson</w:t>
      </w:r>
    </w:p>
    <w:p w14:paraId="1BA5CA59" w14:textId="77777777" w:rsidR="0063567E" w:rsidRPr="008D2A55" w:rsidRDefault="0031217D">
      <w:pPr>
        <w:pStyle w:val="RedaliaNormal"/>
        <w:jc w:val="center"/>
      </w:pPr>
      <w:r w:rsidRPr="008D2A55">
        <w:t>88190 GOLBEY</w:t>
      </w:r>
    </w:p>
    <w:p w14:paraId="1BA5CA5A" w14:textId="77777777" w:rsidR="0063567E" w:rsidRPr="009A2750" w:rsidRDefault="0063567E">
      <w:pPr>
        <w:pStyle w:val="RedaliaNormal"/>
        <w:rPr>
          <w:color w:val="FF0000"/>
        </w:rPr>
      </w:pPr>
    </w:p>
    <w:p w14:paraId="1BA5CA5B" w14:textId="77777777" w:rsidR="0063567E" w:rsidRPr="008D2A55" w:rsidRDefault="0031217D">
      <w:pPr>
        <w:pStyle w:val="RedaliaNormal"/>
      </w:pPr>
      <w:r w:rsidRPr="008D2A55">
        <w:t>Les documents de la copie de sauvegarde doivent être signés (pour les documents dont la signature est obligatoire). Si le support physique choisi est le support papier, la signature est manuscrite. Si le support physique choisi est électronique, la signature est électronique.</w:t>
      </w:r>
    </w:p>
    <w:p w14:paraId="1BA5CA5C" w14:textId="77777777" w:rsidR="0063567E" w:rsidRPr="008D2A55" w:rsidRDefault="0063567E">
      <w:pPr>
        <w:pStyle w:val="RedaliaNormal"/>
      </w:pPr>
    </w:p>
    <w:p w14:paraId="1BA5CA5D" w14:textId="77777777" w:rsidR="0063567E" w:rsidRPr="008D2A55" w:rsidRDefault="0031217D">
      <w:pPr>
        <w:pStyle w:val="RedaliaNormal"/>
      </w:pPr>
      <w:r w:rsidRPr="008D2A55">
        <w:t>Cette copie de sauvegarde pourra être ouverte dans les cas décrits à l’article 2 II de l’arrêté du 22 mars 2019 fixant les modalités de mise à disposition des documents de la consultation et de la copie de sauvegarde.</w:t>
      </w:r>
    </w:p>
    <w:p w14:paraId="1BA5CA5E" w14:textId="77777777" w:rsidR="0063567E" w:rsidRPr="008D2A55" w:rsidRDefault="0063567E">
      <w:pPr>
        <w:pStyle w:val="RedaliaNormal"/>
      </w:pPr>
    </w:p>
    <w:p w14:paraId="1BA5CA5F" w14:textId="77777777" w:rsidR="0063567E" w:rsidRPr="008D2A55" w:rsidRDefault="0031217D">
      <w:pPr>
        <w:pStyle w:val="RedaliaNormal"/>
      </w:pPr>
      <w:r w:rsidRPr="008D2A55">
        <w:t>Les plis contenant la copie de sauvegarde, non ouverts, seront détruits à l’issue de la procédure par le pouvoir adjudicateur.</w:t>
      </w:r>
    </w:p>
    <w:p w14:paraId="1BA5CA60" w14:textId="77777777" w:rsidR="0063567E" w:rsidRPr="008D2A55" w:rsidRDefault="0031217D">
      <w:pPr>
        <w:pStyle w:val="RedaliaTitre1"/>
      </w:pPr>
      <w:bookmarkStart w:id="45" w:name="__RefHeading__22255_280481371"/>
      <w:bookmarkStart w:id="46" w:name="_Toc113959356"/>
      <w:r w:rsidRPr="008D2A55">
        <w:t>Renseignements complémentaires</w:t>
      </w:r>
      <w:bookmarkEnd w:id="45"/>
      <w:bookmarkEnd w:id="46"/>
    </w:p>
    <w:p w14:paraId="1BA5CA61" w14:textId="77777777" w:rsidR="0063567E" w:rsidRPr="008D2A55" w:rsidRDefault="0031217D">
      <w:pPr>
        <w:pStyle w:val="RedaliaNormal"/>
      </w:pPr>
      <w:r w:rsidRPr="008D2A55">
        <w:lastRenderedPageBreak/>
        <w:t>Pour obtenir tous les renseignements complémentaires relatifs à cette consultation, les candidats devront faire parvenir en temps utile leur demande :</w:t>
      </w:r>
    </w:p>
    <w:p w14:paraId="1BA5CA62" w14:textId="5F89A3A6" w:rsidR="0063567E" w:rsidRPr="008D2A55" w:rsidRDefault="0031217D">
      <w:pPr>
        <w:pStyle w:val="RedaliaRetraitavecpuce"/>
      </w:pPr>
      <w:r w:rsidRPr="008D2A55">
        <w:t>De manière électronique, exclusivement sur la plateforme de dématérialisation, sur l’URL suivante : http://</w:t>
      </w:r>
      <w:r w:rsidR="008D2A55" w:rsidRPr="008D2A55">
        <w:t>www.klekoon.com</w:t>
      </w:r>
    </w:p>
    <w:p w14:paraId="1BA5CA63" w14:textId="77777777" w:rsidR="0063567E" w:rsidRPr="008D2A55" w:rsidRDefault="0063567E">
      <w:pPr>
        <w:pStyle w:val="RedaliaNormal"/>
      </w:pPr>
    </w:p>
    <w:p w14:paraId="1BA5CA64" w14:textId="77777777" w:rsidR="0063567E" w:rsidRPr="008D2A55" w:rsidRDefault="0031217D">
      <w:pPr>
        <w:pStyle w:val="RedaliaNormal"/>
      </w:pPr>
      <w:r w:rsidRPr="008D2A55">
        <w:t>Seules les demandes adressées au moins 8 jours avant la date limite de réception des offres feront l’objet d’une réponse de la part du pouvoir adjudicateur.</w:t>
      </w:r>
    </w:p>
    <w:p w14:paraId="1BA5CA65" w14:textId="7D2B5341" w:rsidR="0063567E" w:rsidRPr="008D2A55" w:rsidRDefault="0031217D">
      <w:pPr>
        <w:pStyle w:val="RedaliaNormal"/>
      </w:pPr>
      <w:r w:rsidRPr="008D2A55">
        <w:t>Une réponse sera adressée au plus tard 3 jours avant la date fixée pour la réception des offres aux candidats ayant téléchargé le dossier de consultation sur la plateforme de dématérialisation après s'être préalablement identifiés.</w:t>
      </w:r>
    </w:p>
    <w:p w14:paraId="1BA5CA66" w14:textId="77777777" w:rsidR="0063567E" w:rsidRPr="008D2A55" w:rsidRDefault="0031217D">
      <w:pPr>
        <w:pStyle w:val="RedaliaNormal"/>
      </w:pPr>
      <w:r w:rsidRPr="008D2A55">
        <w:t xml:space="preserve">Concernant les informations relatives à la remise des offres dématérialisées, il convient de se reporter à l’article </w:t>
      </w:r>
      <w:r w:rsidRPr="008D2A55">
        <w:rPr>
          <w:i/>
          <w:iCs/>
        </w:rPr>
        <w:t>Conditions d’envoi et de remise des candidatures et/ou des offres</w:t>
      </w:r>
      <w:r w:rsidRPr="008D2A55">
        <w:t xml:space="preserve"> du présent document.</w:t>
      </w:r>
    </w:p>
    <w:p w14:paraId="1BA5CA67" w14:textId="77777777" w:rsidR="0063567E" w:rsidRDefault="0063567E">
      <w:pPr>
        <w:pStyle w:val="RedaliaNormal"/>
        <w:rPr>
          <w:color w:val="FF0000"/>
        </w:rPr>
      </w:pPr>
    </w:p>
    <w:p w14:paraId="2570BA5F" w14:textId="3521778D" w:rsidR="00F5112B" w:rsidRPr="003C4344" w:rsidRDefault="00F5112B" w:rsidP="00F5112B">
      <w:pPr>
        <w:widowControl/>
        <w:suppressAutoHyphens w:val="0"/>
        <w:autoSpaceDN/>
        <w:textAlignment w:val="auto"/>
        <w:rPr>
          <w:rFonts w:cs="Arial"/>
          <w:szCs w:val="22"/>
        </w:rPr>
      </w:pPr>
      <w:r w:rsidRPr="003C4344">
        <w:rPr>
          <w:rFonts w:cs="Arial"/>
          <w:b/>
          <w:bCs/>
          <w:szCs w:val="22"/>
        </w:rPr>
        <w:t xml:space="preserve">Procédures de recours </w:t>
      </w:r>
    </w:p>
    <w:p w14:paraId="70AA8714" w14:textId="74B079AD" w:rsidR="00F5112B" w:rsidRPr="003C4344" w:rsidRDefault="00F5112B" w:rsidP="00F5112B">
      <w:pPr>
        <w:widowControl/>
        <w:suppressAutoHyphens w:val="0"/>
        <w:autoSpaceDN/>
        <w:textAlignment w:val="auto"/>
        <w:rPr>
          <w:rFonts w:cs="Arial"/>
          <w:szCs w:val="22"/>
        </w:rPr>
      </w:pPr>
      <w:r w:rsidRPr="003C4344">
        <w:rPr>
          <w:rFonts w:cs="Arial"/>
          <w:szCs w:val="22"/>
        </w:rPr>
        <w:t xml:space="preserve">Le tribunal territorialement compétent est : Tribunal Administratif de </w:t>
      </w:r>
      <w:r w:rsidR="00390A7B" w:rsidRPr="003C4344">
        <w:rPr>
          <w:rFonts w:cs="Arial"/>
          <w:szCs w:val="22"/>
        </w:rPr>
        <w:t>NANCY</w:t>
      </w:r>
      <w:r w:rsidR="003C4344">
        <w:rPr>
          <w:rFonts w:cs="Arial"/>
          <w:szCs w:val="22"/>
        </w:rPr>
        <w:t>.</w:t>
      </w:r>
    </w:p>
    <w:p w14:paraId="65238615" w14:textId="77777777" w:rsidR="00F5112B" w:rsidRPr="003C4344" w:rsidRDefault="00F5112B" w:rsidP="00BC571A">
      <w:pPr>
        <w:widowControl/>
        <w:suppressAutoHyphens w:val="0"/>
        <w:autoSpaceDN/>
        <w:jc w:val="both"/>
        <w:textAlignment w:val="auto"/>
        <w:rPr>
          <w:rFonts w:cs="Arial"/>
          <w:szCs w:val="22"/>
        </w:rPr>
      </w:pPr>
      <w:r w:rsidRPr="003C4344">
        <w:rPr>
          <w:rFonts w:cs="Arial"/>
          <w:szCs w:val="22"/>
        </w:rPr>
        <w:t xml:space="preserve">Les voies de recours ouvertes aux candidats sont les suivantes : </w:t>
      </w:r>
    </w:p>
    <w:p w14:paraId="1EDBBB55" w14:textId="5418D1DD" w:rsidR="00F5112B" w:rsidRPr="003C4344" w:rsidRDefault="00F5112B" w:rsidP="00BC571A">
      <w:pPr>
        <w:widowControl/>
        <w:numPr>
          <w:ilvl w:val="0"/>
          <w:numId w:val="33"/>
        </w:numPr>
        <w:suppressAutoHyphens w:val="0"/>
        <w:autoSpaceDN/>
        <w:jc w:val="both"/>
        <w:textAlignment w:val="auto"/>
        <w:rPr>
          <w:rFonts w:cs="Arial"/>
          <w:szCs w:val="22"/>
        </w:rPr>
      </w:pPr>
      <w:r w:rsidRPr="003C4344">
        <w:rPr>
          <w:rFonts w:cs="Arial"/>
          <w:szCs w:val="22"/>
        </w:rPr>
        <w:sym w:font="Symbol" w:char="F096"/>
      </w:r>
      <w:r w:rsidRPr="003C4344">
        <w:rPr>
          <w:rFonts w:cs="Arial"/>
          <w:szCs w:val="22"/>
        </w:rPr>
        <w:t xml:space="preserve">  Référé précontractuel avant la signature du contrat (articles L.551-1 à 12 du Code de Justice Administrative) ; </w:t>
      </w:r>
    </w:p>
    <w:p w14:paraId="6EAE6E56" w14:textId="5F699AA8" w:rsidR="00F5112B" w:rsidRPr="003C4344" w:rsidRDefault="00F5112B" w:rsidP="00BC571A">
      <w:pPr>
        <w:widowControl/>
        <w:numPr>
          <w:ilvl w:val="0"/>
          <w:numId w:val="33"/>
        </w:numPr>
        <w:suppressAutoHyphens w:val="0"/>
        <w:autoSpaceDN/>
        <w:jc w:val="both"/>
        <w:textAlignment w:val="auto"/>
        <w:rPr>
          <w:rFonts w:cs="Arial"/>
          <w:szCs w:val="22"/>
        </w:rPr>
      </w:pPr>
      <w:r w:rsidRPr="003C4344">
        <w:rPr>
          <w:rFonts w:cs="Arial"/>
          <w:szCs w:val="22"/>
        </w:rPr>
        <w:sym w:font="Symbol" w:char="F096"/>
      </w:r>
      <w:r w:rsidRPr="003C4344">
        <w:rPr>
          <w:rFonts w:cs="Arial"/>
          <w:szCs w:val="22"/>
        </w:rPr>
        <w:t xml:space="preserve">  Référé contractuel après la signature du contrat, dans les 31 jours qui suivent la publication de l’avis d’attribution du contrat, ou, à défaut d’un tel avis, dans les six mois qui suivent la date de conclusion de celui-ci (dans les conditions décrites aux articles L.551-13 à 23 du même code) ; </w:t>
      </w:r>
    </w:p>
    <w:p w14:paraId="34CBDDDE" w14:textId="468B0CF4" w:rsidR="00F5112B" w:rsidRPr="003C4344" w:rsidRDefault="00F5112B" w:rsidP="00BC571A">
      <w:pPr>
        <w:widowControl/>
        <w:numPr>
          <w:ilvl w:val="0"/>
          <w:numId w:val="33"/>
        </w:numPr>
        <w:suppressAutoHyphens w:val="0"/>
        <w:autoSpaceDN/>
        <w:jc w:val="both"/>
        <w:textAlignment w:val="auto"/>
        <w:rPr>
          <w:rFonts w:cs="Arial"/>
          <w:szCs w:val="22"/>
        </w:rPr>
      </w:pPr>
      <w:r w:rsidRPr="003C4344">
        <w:rPr>
          <w:rFonts w:cs="Arial"/>
          <w:szCs w:val="22"/>
        </w:rPr>
        <w:sym w:font="Symbol" w:char="F096"/>
      </w:r>
      <w:r w:rsidRPr="003C4344">
        <w:rPr>
          <w:rFonts w:cs="Arial"/>
          <w:szCs w:val="22"/>
        </w:rPr>
        <w:t xml:space="preserve">  </w:t>
      </w:r>
      <w:proofErr w:type="gramStart"/>
      <w:r w:rsidRPr="003C4344">
        <w:rPr>
          <w:rFonts w:cs="Arial"/>
          <w:szCs w:val="22"/>
        </w:rPr>
        <w:t>soit</w:t>
      </w:r>
      <w:proofErr w:type="gramEnd"/>
      <w:r w:rsidRPr="003C4344">
        <w:rPr>
          <w:rFonts w:cs="Arial"/>
          <w:szCs w:val="22"/>
        </w:rPr>
        <w:t xml:space="preserve"> d’un recours en contestation de la validité du contrat, conformément à la décision du Conseil d'État du 4 avril 2014 n°358994 "Tarn et Garonne", dans un délai de 2 mois à compter de la publication de l'avis d'attribution ou </w:t>
      </w:r>
      <w:proofErr w:type="spellStart"/>
      <w:r w:rsidRPr="003C4344">
        <w:rPr>
          <w:rFonts w:cs="Arial"/>
          <w:szCs w:val="22"/>
        </w:rPr>
        <w:t>a</w:t>
      </w:r>
      <w:proofErr w:type="spellEnd"/>
      <w:r w:rsidRPr="003C4344">
        <w:rPr>
          <w:rFonts w:cs="Arial"/>
          <w:szCs w:val="22"/>
        </w:rPr>
        <w:t xml:space="preserve">̀ défaut de toute autre mesure de publicité concernant la conclusion du contrat. </w:t>
      </w:r>
    </w:p>
    <w:p w14:paraId="0C0B5476" w14:textId="49BAFCA6" w:rsidR="00F5112B" w:rsidRDefault="00F5112B" w:rsidP="00E97EEB">
      <w:pPr>
        <w:widowControl/>
        <w:suppressAutoHyphens w:val="0"/>
        <w:autoSpaceDN/>
        <w:textAlignment w:val="auto"/>
        <w:rPr>
          <w:rFonts w:ascii="Times New Roman" w:hAnsi="Times New Roman"/>
          <w:sz w:val="24"/>
          <w:szCs w:val="24"/>
        </w:rPr>
      </w:pPr>
      <w:r w:rsidRPr="00E97EEB">
        <w:rPr>
          <w:rFonts w:cs="Arial"/>
          <w:szCs w:val="22"/>
        </w:rPr>
        <w:t>Les recours peuvent être déposés sur https://www.telerecours.fr/ ou adressés par cour</w:t>
      </w:r>
      <w:r w:rsidR="00BC571A" w:rsidRPr="00E97EEB">
        <w:rPr>
          <w:rFonts w:cs="Arial"/>
          <w:szCs w:val="22"/>
        </w:rPr>
        <w:t>rier</w:t>
      </w:r>
      <w:r w:rsidR="00E97EEB">
        <w:rPr>
          <w:rFonts w:cs="Arial"/>
          <w:szCs w:val="22"/>
        </w:rPr>
        <w:t xml:space="preserve"> à </w:t>
      </w:r>
      <w:r w:rsidRPr="00E97EEB">
        <w:rPr>
          <w:rFonts w:cs="Arial"/>
          <w:szCs w:val="22"/>
        </w:rPr>
        <w:t>:</w:t>
      </w:r>
      <w:r w:rsidR="00BC571A" w:rsidRPr="00E97EEB">
        <w:rPr>
          <w:rFonts w:cs="Arial"/>
          <w:szCs w:val="22"/>
        </w:rPr>
        <w:t xml:space="preserve"> Service Départemental d’Incendie et de Secours </w:t>
      </w:r>
      <w:r w:rsidR="00E97EEB" w:rsidRPr="00E97EEB">
        <w:rPr>
          <w:rFonts w:cs="Arial"/>
          <w:szCs w:val="22"/>
        </w:rPr>
        <w:t xml:space="preserve">– Service Juridique Assemblées – 2 </w:t>
      </w:r>
      <w:proofErr w:type="gramStart"/>
      <w:r w:rsidR="00E97EEB" w:rsidRPr="00E97EEB">
        <w:rPr>
          <w:rFonts w:cs="Arial"/>
          <w:szCs w:val="22"/>
        </w:rPr>
        <w:t>voie</w:t>
      </w:r>
      <w:proofErr w:type="gramEnd"/>
      <w:r w:rsidR="00E97EEB" w:rsidRPr="00E97EEB">
        <w:rPr>
          <w:rFonts w:cs="Arial"/>
          <w:szCs w:val="22"/>
        </w:rPr>
        <w:t xml:space="preserve"> Husson – 88190 GOLBEY.</w:t>
      </w:r>
      <w:r w:rsidRPr="00E97EEB">
        <w:rPr>
          <w:rFonts w:ascii="ArialNarrow" w:hAnsi="ArialNarrow"/>
          <w:sz w:val="20"/>
        </w:rPr>
        <w:br/>
      </w:r>
    </w:p>
    <w:p w14:paraId="241BBF4B" w14:textId="77777777" w:rsidR="00657739" w:rsidRPr="00E97EEB" w:rsidRDefault="00657739" w:rsidP="00E97EEB">
      <w:pPr>
        <w:widowControl/>
        <w:suppressAutoHyphens w:val="0"/>
        <w:autoSpaceDN/>
        <w:textAlignment w:val="auto"/>
        <w:rPr>
          <w:rFonts w:ascii="Times New Roman" w:hAnsi="Times New Roman"/>
          <w:sz w:val="24"/>
          <w:szCs w:val="24"/>
        </w:rPr>
      </w:pPr>
    </w:p>
    <w:p w14:paraId="2D2B6CA8" w14:textId="77777777" w:rsidR="00F5112B" w:rsidRPr="009A2750" w:rsidRDefault="00F5112B">
      <w:pPr>
        <w:pStyle w:val="RedaliaNormal"/>
        <w:rPr>
          <w:color w:val="FF0000"/>
        </w:rPr>
      </w:pPr>
    </w:p>
    <w:p w14:paraId="1BA5CA68" w14:textId="77777777" w:rsidR="0063567E" w:rsidRPr="008D2A55" w:rsidRDefault="0031217D">
      <w:pPr>
        <w:pStyle w:val="RdaliaTitredossier"/>
        <w:pageBreakBefore/>
      </w:pPr>
      <w:bookmarkStart w:id="47" w:name="_Toc170898465"/>
      <w:r w:rsidRPr="008D2A55">
        <w:lastRenderedPageBreak/>
        <w:t>ANNEXE : EXIGENCES RELATIVES AU CERTIFICAT DE SIGNATURE</w:t>
      </w:r>
      <w:bookmarkEnd w:id="47"/>
    </w:p>
    <w:p w14:paraId="1BA5CA69" w14:textId="77777777" w:rsidR="0063567E" w:rsidRPr="008D2A55" w:rsidRDefault="0063567E">
      <w:pPr>
        <w:pStyle w:val="RedaliaNormal"/>
      </w:pPr>
    </w:p>
    <w:p w14:paraId="1BA5CA6A" w14:textId="77777777" w:rsidR="0063567E" w:rsidRPr="008D2A55" w:rsidRDefault="0063567E">
      <w:pPr>
        <w:pStyle w:val="RedaliaNormal"/>
      </w:pPr>
    </w:p>
    <w:p w14:paraId="1BA5CA6B" w14:textId="77777777" w:rsidR="0063567E" w:rsidRPr="008D2A55" w:rsidRDefault="0031217D">
      <w:pPr>
        <w:pStyle w:val="RedaliaNormal"/>
      </w:pPr>
      <w:r w:rsidRPr="008D2A55">
        <w:rPr>
          <w:u w:val="single"/>
        </w:rPr>
        <w:t>Certificat de signature</w:t>
      </w:r>
      <w:r w:rsidRPr="008D2A55">
        <w:t xml:space="preserve"> :</w:t>
      </w:r>
    </w:p>
    <w:p w14:paraId="1BA5CA6C" w14:textId="77777777" w:rsidR="0063567E" w:rsidRPr="008D2A55" w:rsidRDefault="0063567E">
      <w:pPr>
        <w:pStyle w:val="RedaliaNormal"/>
      </w:pPr>
    </w:p>
    <w:p w14:paraId="1BA5CA6D" w14:textId="77777777" w:rsidR="0063567E" w:rsidRPr="008D2A55" w:rsidRDefault="0031217D">
      <w:pPr>
        <w:pStyle w:val="RedaliaNormal"/>
      </w:pPr>
      <w:r w:rsidRPr="008D2A55">
        <w:t xml:space="preserve">Le certificat de signature du signataire doit être conforme au règlement « </w:t>
      </w:r>
      <w:proofErr w:type="spellStart"/>
      <w:r w:rsidRPr="008D2A55">
        <w:t>eIDAS</w:t>
      </w:r>
      <w:proofErr w:type="spellEnd"/>
      <w:r w:rsidRPr="008D2A55">
        <w:t xml:space="preserve"> » ou équivalent et respecter le niveau de sécurité exigé. Le RGS (référentiel général de sécurité) est remplacé par le règlement « </w:t>
      </w:r>
      <w:proofErr w:type="spellStart"/>
      <w:r w:rsidRPr="008D2A55">
        <w:t>eIDAS</w:t>
      </w:r>
      <w:proofErr w:type="spellEnd"/>
      <w:r w:rsidRPr="008D2A55">
        <w:t xml:space="preserve"> » depuis le 1er octobre 2018.</w:t>
      </w:r>
    </w:p>
    <w:p w14:paraId="1BA5CA6E" w14:textId="77777777" w:rsidR="0063567E" w:rsidRPr="008D2A55" w:rsidRDefault="0031217D">
      <w:pPr>
        <w:pStyle w:val="RedaliaNormal"/>
      </w:pPr>
      <w:r w:rsidRPr="008D2A55">
        <w:t>Néanmoins, les candidats disposant déjà d’un certificat « RGS », celui-ci reste utilisable jusqu’au terme de sa période de validité.</w:t>
      </w:r>
    </w:p>
    <w:p w14:paraId="1BA5CA6F" w14:textId="77777777" w:rsidR="0063567E" w:rsidRPr="008D2A55" w:rsidRDefault="0063567E">
      <w:pPr>
        <w:pStyle w:val="RedaliaNormal"/>
      </w:pPr>
    </w:p>
    <w:p w14:paraId="1BA5CA70" w14:textId="77777777" w:rsidR="0063567E" w:rsidRPr="008D2A55" w:rsidRDefault="0031217D">
      <w:pPr>
        <w:pStyle w:val="RedaliaNormal"/>
      </w:pPr>
      <w:r w:rsidRPr="008D2A55">
        <w:rPr>
          <w:b/>
        </w:rPr>
        <w:t>- Cas 1 : Certificat émis par une Autorité de certification</w:t>
      </w:r>
      <w:proofErr w:type="gramStart"/>
      <w:r w:rsidRPr="008D2A55">
        <w:rPr>
          <w:b/>
        </w:rPr>
        <w:t xml:space="preserve"> «reconnue</w:t>
      </w:r>
      <w:proofErr w:type="gramEnd"/>
      <w:r w:rsidRPr="008D2A55">
        <w:rPr>
          <w:b/>
        </w:rPr>
        <w:t>» - Aucun justificatif à fournir</w:t>
      </w:r>
    </w:p>
    <w:p w14:paraId="1BA5CA71" w14:textId="77777777" w:rsidR="0063567E" w:rsidRPr="008D2A55" w:rsidRDefault="0063567E">
      <w:pPr>
        <w:pStyle w:val="RedaliaNormal"/>
      </w:pPr>
    </w:p>
    <w:p w14:paraId="1BA5CA72" w14:textId="77777777" w:rsidR="0063567E" w:rsidRPr="008D2A55" w:rsidRDefault="0031217D">
      <w:pPr>
        <w:pStyle w:val="RedaliaNormal"/>
      </w:pPr>
      <w:r w:rsidRPr="008D2A55">
        <w:t>Le certificat de signature est émis par une Autorité de certification mentionnée dans la liste de confiance suivante :</w:t>
      </w:r>
    </w:p>
    <w:p w14:paraId="1BA5CA73" w14:textId="77777777" w:rsidR="0063567E" w:rsidRPr="008D2A55" w:rsidRDefault="0031217D">
      <w:pPr>
        <w:pStyle w:val="RedaliaNormal"/>
      </w:pPr>
      <w:hyperlink r:id="rId14" w:history="1">
        <w:r w:rsidRPr="008D2A55">
          <w:rPr>
            <w:rStyle w:val="Lienhypertexte"/>
            <w:color w:val="auto"/>
          </w:rPr>
          <w:t>https://www.ssi.gouv.fr/entreprise/reglementation/confiance-numerique/le-reglement-eidas/liste-nationale-de-confiance/</w:t>
        </w:r>
      </w:hyperlink>
    </w:p>
    <w:p w14:paraId="1BA5CA74" w14:textId="77777777" w:rsidR="0063567E" w:rsidRPr="008D2A55" w:rsidRDefault="0063567E">
      <w:pPr>
        <w:pStyle w:val="RedaliaNormal"/>
      </w:pPr>
    </w:p>
    <w:p w14:paraId="1BA5CA75" w14:textId="77777777" w:rsidR="0063567E" w:rsidRPr="008D2A55" w:rsidRDefault="0031217D">
      <w:pPr>
        <w:pStyle w:val="RedaliaNormal"/>
      </w:pPr>
      <w:r w:rsidRPr="008D2A55">
        <w:t>Les candidats européens trouveront également la liste complète des prestataires sur la liste de confiance tenue par la Commission européenne :</w:t>
      </w:r>
    </w:p>
    <w:p w14:paraId="1BA5CA76" w14:textId="77777777" w:rsidR="0063567E" w:rsidRPr="008D2A55" w:rsidRDefault="0031217D">
      <w:pPr>
        <w:pStyle w:val="RedaliaNormal"/>
      </w:pPr>
      <w:hyperlink r:id="rId15" w:anchor="/screen/tl/FR" w:history="1">
        <w:r w:rsidRPr="008D2A55">
          <w:rPr>
            <w:rStyle w:val="Lienhypertexte"/>
            <w:color w:val="auto"/>
          </w:rPr>
          <w:t>https://esignature.ec.europa.eu/efda/tl-browser/#/screen/tl/FR</w:t>
        </w:r>
      </w:hyperlink>
    </w:p>
    <w:p w14:paraId="1BA5CA77" w14:textId="77777777" w:rsidR="0063567E" w:rsidRPr="008D2A55" w:rsidRDefault="0063567E">
      <w:pPr>
        <w:pStyle w:val="RedaliaNormal"/>
      </w:pPr>
    </w:p>
    <w:p w14:paraId="1BA5CA78" w14:textId="77777777" w:rsidR="0063567E" w:rsidRPr="008D2A55" w:rsidRDefault="0031217D">
      <w:pPr>
        <w:pStyle w:val="RedaliaNormal"/>
      </w:pPr>
      <w:r w:rsidRPr="008D2A55">
        <w:t>Dans ce cas, le soumissionnaire n’a aucun justificatif à fournir sur le certificat de signature utilisé pour signer sa réponse.</w:t>
      </w:r>
    </w:p>
    <w:p w14:paraId="1BA5CA79" w14:textId="77777777" w:rsidR="0063567E" w:rsidRPr="008D2A55" w:rsidRDefault="0063567E">
      <w:pPr>
        <w:pStyle w:val="RedaliaNormal"/>
      </w:pPr>
    </w:p>
    <w:p w14:paraId="1BA5CA7A" w14:textId="77777777" w:rsidR="0063567E" w:rsidRPr="008D2A55" w:rsidRDefault="0031217D">
      <w:pPr>
        <w:pStyle w:val="RedaliaNormal"/>
      </w:pPr>
      <w:r w:rsidRPr="008D2A55">
        <w:rPr>
          <w:b/>
        </w:rPr>
        <w:t>- Cas 2 : Le certificat de signature électronique n’est pas référencé sur une liste de confiance - Différents justificatifs à fournir</w:t>
      </w:r>
    </w:p>
    <w:p w14:paraId="1BA5CA7B" w14:textId="77777777" w:rsidR="0063567E" w:rsidRPr="008D2A55" w:rsidRDefault="0063567E">
      <w:pPr>
        <w:pStyle w:val="RedaliaNormal"/>
      </w:pPr>
    </w:p>
    <w:p w14:paraId="1BA5CA7C" w14:textId="77777777" w:rsidR="0063567E" w:rsidRPr="008D2A55" w:rsidRDefault="0031217D">
      <w:pPr>
        <w:pStyle w:val="RedaliaNormal"/>
      </w:pPr>
      <w:r w:rsidRPr="008D2A55">
        <w:t>La plateforme de dématérialisation accepte tous les certificats de signature électronique présentant des conditions de sécurité équivalentes à celles du Référentiel général de sécurité (RGS) et « </w:t>
      </w:r>
      <w:proofErr w:type="spellStart"/>
      <w:r w:rsidRPr="008D2A55">
        <w:t>eIDAS</w:t>
      </w:r>
      <w:proofErr w:type="spellEnd"/>
      <w:r w:rsidRPr="008D2A55">
        <w:t> ».</w:t>
      </w:r>
    </w:p>
    <w:p w14:paraId="1BA5CA7D" w14:textId="77777777" w:rsidR="0063567E" w:rsidRPr="008D2A55" w:rsidRDefault="0031217D">
      <w:pPr>
        <w:pStyle w:val="RedaliaNormal"/>
      </w:pPr>
      <w:r w:rsidRPr="008D2A55">
        <w:t>Le candidat s’assure par lui-même que le certificat qu’il utilise est au moins conforme au niveau de sécurité défini par le Référentiel général de sécurité (RGS) ou « </w:t>
      </w:r>
      <w:proofErr w:type="spellStart"/>
      <w:r w:rsidRPr="008D2A55">
        <w:t>eIDAS</w:t>
      </w:r>
      <w:proofErr w:type="spellEnd"/>
      <w:r w:rsidRPr="008D2A55">
        <w:t> », et en fournit les justificatifs dans sa réponse électronique.</w:t>
      </w:r>
    </w:p>
    <w:p w14:paraId="1BA5CA7E" w14:textId="77777777" w:rsidR="0063567E" w:rsidRPr="008D2A55" w:rsidRDefault="0031217D">
      <w:pPr>
        <w:pStyle w:val="RedaliaNormal"/>
      </w:pPr>
      <w:r w:rsidRPr="008D2A55">
        <w:t>Le candidat fournit également tous les éléments techniques permettant au pouvoir adjudicateur de s’assurer de la bonne validité technique du certificat utilisé.</w:t>
      </w:r>
    </w:p>
    <w:p w14:paraId="1BA5CA7F" w14:textId="77777777" w:rsidR="0063567E" w:rsidRPr="008D2A55" w:rsidRDefault="0063567E">
      <w:pPr>
        <w:pStyle w:val="RedaliaNormal"/>
      </w:pPr>
    </w:p>
    <w:p w14:paraId="1BA5CA80" w14:textId="77777777" w:rsidR="0063567E" w:rsidRPr="008D2A55" w:rsidRDefault="0031217D">
      <w:pPr>
        <w:pStyle w:val="RedaliaNormal"/>
      </w:pPr>
      <w:r w:rsidRPr="008D2A55">
        <w:t>Ainsi, le signataire doit transmettre avec sa réponse électronique les éléments suivants :</w:t>
      </w:r>
    </w:p>
    <w:p w14:paraId="1BA5CA81" w14:textId="77777777" w:rsidR="0063567E" w:rsidRPr="008D2A55" w:rsidRDefault="0063567E">
      <w:pPr>
        <w:pStyle w:val="RedaliaNormal"/>
      </w:pPr>
    </w:p>
    <w:p w14:paraId="1BA5CA82" w14:textId="77777777" w:rsidR="0063567E" w:rsidRPr="008D2A55" w:rsidRDefault="0031217D">
      <w:pPr>
        <w:pStyle w:val="RedaliaNormal"/>
      </w:pPr>
      <w:r w:rsidRPr="008D2A55">
        <w:t xml:space="preserve">     a) tout élément permettant la vérification de la qualité et du niveau de sécurité du certificat de signature (preuve de la qualification de l’Autorité de certification, politique de certification, adresse du site internet du référencement de l’Autorité de certification),</w:t>
      </w:r>
    </w:p>
    <w:p w14:paraId="1BA5CA83" w14:textId="77777777" w:rsidR="0063567E" w:rsidRDefault="0031217D">
      <w:pPr>
        <w:pStyle w:val="RedaliaNormal"/>
      </w:pPr>
      <w:r w:rsidRPr="008D2A55">
        <w:t xml:space="preserve">     b) les outils techniques de vérification du certificat (chaîne de certification complète jusqu’à l’Autorité de Certification racine, adresse de téléchargement de la dernière </w:t>
      </w:r>
      <w:r>
        <w:t>mise à jour de la liste de révocation des certificats).</w:t>
      </w:r>
    </w:p>
    <w:p w14:paraId="1BA5CA84" w14:textId="77777777" w:rsidR="0063567E" w:rsidRDefault="0063567E">
      <w:pPr>
        <w:pStyle w:val="RedaliaNormal"/>
      </w:pPr>
    </w:p>
    <w:p w14:paraId="1BA5CA85" w14:textId="77777777" w:rsidR="0063567E" w:rsidRDefault="0031217D">
      <w:pPr>
        <w:pStyle w:val="RedaliaNormal"/>
      </w:pPr>
      <w:r>
        <w:lastRenderedPageBreak/>
        <w:t>Il est précisé que tous ces éléments doivent être d’accès et d’utilisation gratuits pour l’acheteur, et être accompagnés le cas échéant de notices d’utilisation claires.</w:t>
      </w:r>
    </w:p>
    <w:p w14:paraId="1BA5CA86" w14:textId="77777777" w:rsidR="0063567E" w:rsidRDefault="0063567E">
      <w:pPr>
        <w:pStyle w:val="RedaliaNormal"/>
      </w:pPr>
    </w:p>
    <w:p w14:paraId="1BA5CA87" w14:textId="77777777" w:rsidR="0063567E" w:rsidRDefault="0031217D">
      <w:pPr>
        <w:pStyle w:val="RedaliaNormal"/>
      </w:pPr>
      <w:r>
        <w:rPr>
          <w:u w:val="single"/>
        </w:rPr>
        <w:t>Outil de signature utilisé pour signer les fichiers</w:t>
      </w:r>
      <w:r>
        <w:t xml:space="preserve"> :</w:t>
      </w:r>
    </w:p>
    <w:p w14:paraId="1BA5CA88" w14:textId="77777777" w:rsidR="0063567E" w:rsidRDefault="0063567E">
      <w:pPr>
        <w:pStyle w:val="RedaliaNormal"/>
      </w:pPr>
    </w:p>
    <w:p w14:paraId="1BA5CA89" w14:textId="77777777" w:rsidR="0063567E" w:rsidRDefault="0031217D">
      <w:pPr>
        <w:pStyle w:val="RedaliaNormal"/>
      </w:pPr>
      <w:r>
        <w:t>La réglementation autorise le soumissionnaire à utiliser l’outil de signature de son choix.</w:t>
      </w:r>
    </w:p>
    <w:p w14:paraId="1BA5CA8A" w14:textId="77777777" w:rsidR="0063567E" w:rsidRDefault="0063567E">
      <w:pPr>
        <w:pStyle w:val="RedaliaNormal"/>
      </w:pPr>
    </w:p>
    <w:p w14:paraId="1BA5CA8B" w14:textId="77777777" w:rsidR="0063567E" w:rsidRDefault="0031217D">
      <w:pPr>
        <w:pStyle w:val="RedaliaNormal"/>
      </w:pPr>
      <w:r>
        <w:rPr>
          <w:b/>
        </w:rPr>
        <w:t>- Cas 1 : Le soumissionnaire utilise l’outil de signature de la plate-forme - Aucun justificatif à fournir</w:t>
      </w:r>
    </w:p>
    <w:p w14:paraId="1BA5CA8C" w14:textId="77777777" w:rsidR="0063567E" w:rsidRDefault="0063567E">
      <w:pPr>
        <w:pStyle w:val="RedaliaNormal"/>
      </w:pPr>
    </w:p>
    <w:p w14:paraId="1BA5CA8D" w14:textId="77777777" w:rsidR="0063567E" w:rsidRDefault="0031217D">
      <w:pPr>
        <w:pStyle w:val="RedaliaNormal"/>
      </w:pPr>
      <w:r>
        <w:t xml:space="preserve">La plate-forme intègre un outil de signature électronique, qui réalise des Jetons de signature au format réglementaire </w:t>
      </w:r>
      <w:proofErr w:type="spellStart"/>
      <w:r>
        <w:t>XAdES</w:t>
      </w:r>
      <w:proofErr w:type="spellEnd"/>
      <w:r>
        <w:t>.</w:t>
      </w:r>
    </w:p>
    <w:p w14:paraId="1BA5CA8E" w14:textId="77777777" w:rsidR="0063567E" w:rsidRDefault="0063567E">
      <w:pPr>
        <w:pStyle w:val="RedaliaNormal"/>
      </w:pPr>
    </w:p>
    <w:p w14:paraId="1BA5CA8F" w14:textId="77777777" w:rsidR="0063567E" w:rsidRDefault="0031217D">
      <w:pPr>
        <w:pStyle w:val="RedaliaNormal"/>
      </w:pPr>
      <w:r>
        <w:t>Dans ce cas, le soumissionnaire n’a aucun justificatif à fournir sur les signatures électroniques transmises et l’outil de signature utilisé.</w:t>
      </w:r>
    </w:p>
    <w:p w14:paraId="1BA5CA90" w14:textId="77777777" w:rsidR="0063567E" w:rsidRDefault="0063567E">
      <w:pPr>
        <w:pStyle w:val="RedaliaNormal"/>
      </w:pPr>
    </w:p>
    <w:p w14:paraId="1BA5CA91" w14:textId="77777777" w:rsidR="0063567E" w:rsidRDefault="0031217D">
      <w:pPr>
        <w:pStyle w:val="RedaliaNormal"/>
      </w:pPr>
      <w:r>
        <w:rPr>
          <w:b/>
        </w:rPr>
        <w:t>- Cas 2 : Le soumissionnaire utilise un autre outil de signature que celui intégré à la plate-forme - Différents justificatifs à fournir</w:t>
      </w:r>
    </w:p>
    <w:p w14:paraId="1BA5CA92" w14:textId="77777777" w:rsidR="0063567E" w:rsidRDefault="0063567E">
      <w:pPr>
        <w:pStyle w:val="RedaliaNormal"/>
      </w:pPr>
    </w:p>
    <w:p w14:paraId="1BA5CA93" w14:textId="77777777" w:rsidR="0063567E" w:rsidRDefault="0031217D">
      <w:pPr>
        <w:pStyle w:val="RedaliaNormal"/>
      </w:pPr>
      <w:r>
        <w:t>Lorsque le candidat utilise un autre outil de signature que celui de la plate-forme, il doit respecter les deux obligations suivantes :</w:t>
      </w:r>
    </w:p>
    <w:p w14:paraId="1BA5CA94" w14:textId="77777777" w:rsidR="0063567E" w:rsidRDefault="0063567E">
      <w:pPr>
        <w:pStyle w:val="RedaliaNormal"/>
      </w:pPr>
    </w:p>
    <w:p w14:paraId="1BA5CA95" w14:textId="77777777" w:rsidR="0063567E" w:rsidRDefault="0031217D">
      <w:pPr>
        <w:pStyle w:val="RedaliaNormal"/>
      </w:pPr>
      <w:r>
        <w:t xml:space="preserve">     a) Produire des formats de signature </w:t>
      </w:r>
      <w:proofErr w:type="spellStart"/>
      <w:r>
        <w:t>XAdES</w:t>
      </w:r>
      <w:proofErr w:type="spellEnd"/>
      <w:r>
        <w:t xml:space="preserve">, </w:t>
      </w:r>
      <w:proofErr w:type="spellStart"/>
      <w:r>
        <w:t>CAdES</w:t>
      </w:r>
      <w:proofErr w:type="spellEnd"/>
      <w:r>
        <w:t xml:space="preserve"> ou </w:t>
      </w:r>
      <w:proofErr w:type="spellStart"/>
      <w:r>
        <w:t>PAdES</w:t>
      </w:r>
      <w:proofErr w:type="spellEnd"/>
      <w:r>
        <w:t>.</w:t>
      </w:r>
    </w:p>
    <w:p w14:paraId="1BA5CA96" w14:textId="77777777" w:rsidR="0063567E" w:rsidRDefault="0031217D">
      <w:pPr>
        <w:pStyle w:val="RedaliaNormal"/>
      </w:pPr>
      <w:r>
        <w:t xml:space="preserve">     b) Permettre la vérification en transmettant en parallèle les éléments nécessaires pour procéder à la vérification de la validité de la signature et de l’intégrité du document, et ce, gratuitement.</w:t>
      </w:r>
    </w:p>
    <w:p w14:paraId="1BA5CA97" w14:textId="77777777" w:rsidR="0063567E" w:rsidRDefault="0063567E">
      <w:pPr>
        <w:pStyle w:val="RedaliaNormal"/>
      </w:pPr>
    </w:p>
    <w:p w14:paraId="1BA5CA98" w14:textId="77777777" w:rsidR="0063567E" w:rsidRDefault="0031217D">
      <w:pPr>
        <w:pStyle w:val="RedaliaNormal"/>
      </w:pPr>
      <w:r>
        <w:t>Il est précisé que tous ces éléments doivent être d’accès et d’utilisation gratuits pour l’acheteur, et être accompagnés le cas échéant de notices d’utilisation claires.</w:t>
      </w:r>
    </w:p>
    <w:p w14:paraId="1BA5CA99" w14:textId="77777777" w:rsidR="0063567E" w:rsidRDefault="0063567E">
      <w:pPr>
        <w:pStyle w:val="RedaliaNormal"/>
      </w:pPr>
    </w:p>
    <w:p w14:paraId="1BA5CA9A" w14:textId="77777777" w:rsidR="0063567E" w:rsidRDefault="0031217D">
      <w:pPr>
        <w:pStyle w:val="RdaliaTitredossier"/>
        <w:pageBreakBefore/>
      </w:pPr>
      <w:bookmarkStart w:id="48" w:name="_Toc1708984651"/>
      <w:r>
        <w:lastRenderedPageBreak/>
        <w:t>DECLARATION SUR L'HONNEUR</w:t>
      </w:r>
      <w:bookmarkEnd w:id="48"/>
    </w:p>
    <w:p w14:paraId="1BA5CA9B" w14:textId="77777777" w:rsidR="0063567E" w:rsidRDefault="0063567E">
      <w:pPr>
        <w:pStyle w:val="RedaliaNormal"/>
      </w:pPr>
    </w:p>
    <w:p w14:paraId="1BA5CA9C" w14:textId="77777777" w:rsidR="0063567E" w:rsidRDefault="0063567E">
      <w:pPr>
        <w:pStyle w:val="RedaliaNormal"/>
      </w:pPr>
    </w:p>
    <w:p w14:paraId="1BA5CA9D" w14:textId="77777777" w:rsidR="0063567E" w:rsidRDefault="0031217D">
      <w:pPr>
        <w:pStyle w:val="RedaliaNormal"/>
      </w:pPr>
      <w:r>
        <w:t>Je soussigné(e)</w:t>
      </w:r>
      <w:r>
        <w:tab/>
      </w:r>
    </w:p>
    <w:p w14:paraId="1BA5CA9E" w14:textId="77777777" w:rsidR="0063567E" w:rsidRDefault="0031217D">
      <w:pPr>
        <w:pStyle w:val="RedaliaNormal"/>
      </w:pPr>
      <w:r>
        <w:t>Agissant en qualité de</w:t>
      </w:r>
      <w:r>
        <w:tab/>
      </w:r>
    </w:p>
    <w:p w14:paraId="1BA5CA9F" w14:textId="77777777" w:rsidR="0063567E" w:rsidRDefault="0031217D">
      <w:pPr>
        <w:pStyle w:val="RedaliaNormal"/>
      </w:pPr>
      <w:r>
        <w:t>Nom et adresse de l’entreprise :</w:t>
      </w:r>
      <w:r>
        <w:tab/>
      </w:r>
    </w:p>
    <w:p w14:paraId="1BA5CAA0" w14:textId="77777777" w:rsidR="0063567E" w:rsidRDefault="0031217D">
      <w:pPr>
        <w:pStyle w:val="RedaliaNormal"/>
      </w:pPr>
      <w:r>
        <w:tab/>
      </w:r>
    </w:p>
    <w:p w14:paraId="1BA5CAA1" w14:textId="77777777" w:rsidR="0063567E" w:rsidRDefault="0031217D">
      <w:pPr>
        <w:pStyle w:val="RedaliaNormal"/>
      </w:pPr>
      <w:r>
        <w:tab/>
      </w:r>
    </w:p>
    <w:p w14:paraId="1BA5CAA2" w14:textId="77777777" w:rsidR="0063567E" w:rsidRDefault="0031217D">
      <w:pPr>
        <w:pStyle w:val="RedaliaNormal"/>
        <w:rPr>
          <w:b/>
          <w:bCs/>
        </w:rPr>
      </w:pPr>
      <w:proofErr w:type="gramStart"/>
      <w:r>
        <w:rPr>
          <w:b/>
          <w:bCs/>
        </w:rPr>
        <w:t>déclare</w:t>
      </w:r>
      <w:proofErr w:type="gramEnd"/>
      <w:r>
        <w:rPr>
          <w:b/>
          <w:bCs/>
        </w:rPr>
        <w:t xml:space="preserve"> sur l’honneur ne pas entrer dans l’un des cas d’exclusion prévus aux articles L. 2141-1 à L. 2141-5 ou aux articles L. 2141-7 à L. 2141-10 du Code de la commande publique.</w:t>
      </w:r>
    </w:p>
    <w:p w14:paraId="1BA5CAA3" w14:textId="77777777" w:rsidR="0063567E" w:rsidRDefault="0063567E">
      <w:pPr>
        <w:pStyle w:val="RedaliaNormal"/>
      </w:pPr>
    </w:p>
    <w:p w14:paraId="1BA5CAA4" w14:textId="77777777" w:rsidR="0063567E" w:rsidRDefault="0031217D">
      <w:pPr>
        <w:pStyle w:val="RdaliaLgende"/>
        <w:ind w:left="0" w:firstLine="0"/>
      </w:pPr>
      <w:r>
        <w:t>N.B. : Lorsqu'un opérateur économique est, au cours de la procédure de passation d'un marché, placé dans l'un des cas d'exclusion mentionnés aux articles L. 2141-1 à L. 2141-5, aux articles L. 2141-7 à L. 2141-10 ou aux articles L. 2341-1 à L. 2341-3 du Code de la commande publique, il informe sans délai l'acheteur de ce changement de situation.</w:t>
      </w:r>
    </w:p>
    <w:p w14:paraId="1BA5CAA5" w14:textId="77777777" w:rsidR="0063567E" w:rsidRDefault="0063567E">
      <w:pPr>
        <w:pStyle w:val="RedaliaNormal"/>
      </w:pPr>
    </w:p>
    <w:p w14:paraId="1BA5CAA6" w14:textId="77777777" w:rsidR="0063567E" w:rsidRDefault="0031217D">
      <w:pPr>
        <w:pStyle w:val="RedaliaNormal"/>
        <w:tabs>
          <w:tab w:val="clear" w:pos="8505"/>
          <w:tab w:val="left" w:leader="dot" w:pos="9638"/>
        </w:tabs>
      </w:pPr>
      <w:r>
        <w:rPr>
          <w:b/>
        </w:rPr>
        <w:t>Documents de preuve disponibles en ligne </w:t>
      </w:r>
      <w:r>
        <w:t>:</w:t>
      </w:r>
    </w:p>
    <w:p w14:paraId="1BA5CAA7" w14:textId="77777777" w:rsidR="0063567E" w:rsidRDefault="0063567E">
      <w:pPr>
        <w:pStyle w:val="RedaliaNormal"/>
      </w:pPr>
    </w:p>
    <w:p w14:paraId="1BA5CAA8" w14:textId="77777777" w:rsidR="0063567E" w:rsidRDefault="0031217D">
      <w:pPr>
        <w:pStyle w:val="RedaliaNormal"/>
      </w:pPr>
      <w:r>
        <w:t>Adresse internet à laquelle les documents justificatifs et moyens de preuve sont accessibles directement et gratuitement, ainsi que l’ensemble des renseignements nécessaires pour y accéder :</w:t>
      </w:r>
    </w:p>
    <w:p w14:paraId="1BA5CAA9" w14:textId="77777777" w:rsidR="0063567E" w:rsidRDefault="0031217D">
      <w:pPr>
        <w:pStyle w:val="RedaliaNormal"/>
      </w:pPr>
      <w:r>
        <w:t xml:space="preserve">- Adresse internet : </w:t>
      </w:r>
      <w:r>
        <w:tab/>
      </w:r>
    </w:p>
    <w:p w14:paraId="1BA5CAAA" w14:textId="77777777" w:rsidR="0063567E" w:rsidRDefault="0031217D">
      <w:pPr>
        <w:pStyle w:val="RedaliaNormal"/>
      </w:pPr>
      <w:r>
        <w:t> </w:t>
      </w:r>
    </w:p>
    <w:p w14:paraId="1BA5CAAB" w14:textId="77777777" w:rsidR="0063567E" w:rsidRDefault="0031217D">
      <w:pPr>
        <w:pStyle w:val="RedaliaNormal"/>
      </w:pPr>
      <w:r>
        <w:t xml:space="preserve">- Renseignements nécessaires pour y accéder : </w:t>
      </w:r>
      <w:r>
        <w:tab/>
      </w:r>
    </w:p>
    <w:p w14:paraId="1BA5CAAC" w14:textId="77777777" w:rsidR="0063567E" w:rsidRDefault="0031217D">
      <w:pPr>
        <w:pStyle w:val="RedaliaNormal"/>
      </w:pPr>
      <w:r>
        <w:tab/>
      </w:r>
    </w:p>
    <w:p w14:paraId="1BA5CAAD" w14:textId="77777777" w:rsidR="0063567E" w:rsidRDefault="0031217D">
      <w:pPr>
        <w:pStyle w:val="RedaliaNormal"/>
      </w:pPr>
      <w:r>
        <w:tab/>
      </w:r>
    </w:p>
    <w:p w14:paraId="1BA5CAAE" w14:textId="77777777" w:rsidR="0063567E" w:rsidRDefault="0063567E">
      <w:pPr>
        <w:pStyle w:val="RedaliaNormal"/>
      </w:pPr>
    </w:p>
    <w:p w14:paraId="1BA5CAAF" w14:textId="77777777" w:rsidR="0063567E" w:rsidRDefault="0063567E">
      <w:pPr>
        <w:pStyle w:val="RedaliaNormal"/>
      </w:pPr>
    </w:p>
    <w:p w14:paraId="1BA5CAB0" w14:textId="77777777" w:rsidR="0063567E" w:rsidRDefault="0031217D">
      <w:pPr>
        <w:pStyle w:val="RedaliaNormal"/>
        <w:tabs>
          <w:tab w:val="left" w:leader="dot" w:pos="4140"/>
        </w:tabs>
      </w:pPr>
      <w:r>
        <w:t>Fait à</w:t>
      </w:r>
      <w:r>
        <w:tab/>
      </w:r>
    </w:p>
    <w:p w14:paraId="1BA5CAB1" w14:textId="77777777" w:rsidR="0063567E" w:rsidRDefault="0031217D">
      <w:pPr>
        <w:pStyle w:val="RedaliaNormal"/>
        <w:tabs>
          <w:tab w:val="left" w:leader="dot" w:pos="4140"/>
        </w:tabs>
      </w:pPr>
      <w:r>
        <w:t>Le</w:t>
      </w:r>
      <w:r>
        <w:tab/>
      </w:r>
    </w:p>
    <w:p w14:paraId="1BA5CAB2" w14:textId="77777777" w:rsidR="0063567E" w:rsidRDefault="0031217D">
      <w:pPr>
        <w:pStyle w:val="RedaliaNormal"/>
      </w:pPr>
      <w:r>
        <w:t>Signature</w:t>
      </w:r>
      <w:r>
        <w:tab/>
      </w:r>
    </w:p>
    <w:p w14:paraId="1BA5CAB3" w14:textId="77777777" w:rsidR="0063567E" w:rsidRDefault="0031217D">
      <w:pPr>
        <w:pStyle w:val="RedaliaNormal"/>
      </w:pPr>
      <w:r>
        <w:tab/>
      </w:r>
    </w:p>
    <w:p w14:paraId="1BA5CAB4" w14:textId="77777777" w:rsidR="0063567E" w:rsidRDefault="0063567E">
      <w:pPr>
        <w:pStyle w:val="RedaliaNormal"/>
      </w:pPr>
    </w:p>
    <w:sectPr w:rsidR="0063567E">
      <w:headerReference w:type="default" r:id="rId16"/>
      <w:footerReference w:type="default" r:id="rId17"/>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36628" w14:textId="77777777" w:rsidR="006D37FB" w:rsidRDefault="006D37FB">
      <w:r>
        <w:separator/>
      </w:r>
    </w:p>
  </w:endnote>
  <w:endnote w:type="continuationSeparator" w:id="0">
    <w:p w14:paraId="3CC008FD" w14:textId="77777777" w:rsidR="006D37FB" w:rsidRDefault="006D37FB">
      <w:r>
        <w:continuationSeparator/>
      </w:r>
    </w:p>
  </w:endnote>
  <w:endnote w:type="continuationNotice" w:id="1">
    <w:p w14:paraId="740FEF61" w14:textId="77777777" w:rsidR="006D37FB" w:rsidRDefault="006D37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Narrow">
    <w:altName w:val="Arial"/>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5C925" w14:textId="77777777" w:rsidR="0031217D" w:rsidRDefault="0031217D">
    <w:pPr>
      <w:rPr>
        <w:i/>
        <w:vanish/>
        <w:sz w:val="16"/>
      </w:rPr>
    </w:pPr>
  </w:p>
  <w:tbl>
    <w:tblPr>
      <w:tblW w:w="9212" w:type="dxa"/>
      <w:tblInd w:w="-70" w:type="dxa"/>
      <w:tblLayout w:type="fixed"/>
      <w:tblCellMar>
        <w:left w:w="10" w:type="dxa"/>
        <w:right w:w="10" w:type="dxa"/>
      </w:tblCellMar>
      <w:tblLook w:val="0000" w:firstRow="0" w:lastRow="0" w:firstColumn="0" w:lastColumn="0" w:noHBand="0" w:noVBand="0"/>
    </w:tblPr>
    <w:tblGrid>
      <w:gridCol w:w="3070"/>
      <w:gridCol w:w="3071"/>
      <w:gridCol w:w="3071"/>
    </w:tblGrid>
    <w:tr w:rsidR="00906C20" w14:paraId="1BA5C929" w14:textId="77777777">
      <w:tc>
        <w:tcPr>
          <w:tcW w:w="3070" w:type="dxa"/>
          <w:tcBorders>
            <w:top w:val="single" w:sz="4" w:space="0" w:color="000000"/>
          </w:tcBorders>
          <w:tcMar>
            <w:top w:w="0" w:type="dxa"/>
            <w:left w:w="70" w:type="dxa"/>
            <w:bottom w:w="0" w:type="dxa"/>
            <w:right w:w="70" w:type="dxa"/>
          </w:tcMar>
        </w:tcPr>
        <w:p w14:paraId="1BA5C926" w14:textId="77777777" w:rsidR="0031217D" w:rsidRDefault="0031217D">
          <w:pPr>
            <w:pStyle w:val="RdaliaLgende"/>
          </w:pPr>
          <w:r>
            <w:t>Règlement de la consultation</w:t>
          </w:r>
        </w:p>
      </w:tc>
      <w:tc>
        <w:tcPr>
          <w:tcW w:w="3071" w:type="dxa"/>
          <w:tcBorders>
            <w:top w:val="single" w:sz="4" w:space="0" w:color="000000"/>
          </w:tcBorders>
          <w:tcMar>
            <w:top w:w="0" w:type="dxa"/>
            <w:left w:w="70" w:type="dxa"/>
            <w:bottom w:w="0" w:type="dxa"/>
            <w:right w:w="70" w:type="dxa"/>
          </w:tcMar>
        </w:tcPr>
        <w:p w14:paraId="1BA5C927" w14:textId="77777777" w:rsidR="0031217D" w:rsidRDefault="0031217D">
          <w:pPr>
            <w:pStyle w:val="RdaliaLgende"/>
          </w:pPr>
        </w:p>
      </w:tc>
      <w:tc>
        <w:tcPr>
          <w:tcW w:w="3071" w:type="dxa"/>
          <w:tcBorders>
            <w:top w:val="single" w:sz="4" w:space="0" w:color="000000"/>
          </w:tcBorders>
          <w:tcMar>
            <w:top w:w="0" w:type="dxa"/>
            <w:left w:w="70" w:type="dxa"/>
            <w:bottom w:w="0" w:type="dxa"/>
            <w:right w:w="70" w:type="dxa"/>
          </w:tcMar>
        </w:tcPr>
        <w:p w14:paraId="1BA5C928" w14:textId="77777777" w:rsidR="0031217D" w:rsidRDefault="0031217D">
          <w:pPr>
            <w:pStyle w:val="RdaliaLgende"/>
            <w:jc w:val="right"/>
          </w:pPr>
          <w:r>
            <w:t xml:space="preserve">Page </w:t>
          </w:r>
          <w:r>
            <w:fldChar w:fldCharType="begin"/>
          </w:r>
          <w:r>
            <w:instrText xml:space="preserve"> PAGE </w:instrText>
          </w:r>
          <w:r>
            <w:fldChar w:fldCharType="separate"/>
          </w:r>
          <w:r>
            <w:t>15</w:t>
          </w:r>
          <w:r>
            <w:fldChar w:fldCharType="end"/>
          </w:r>
          <w:r>
            <w:t xml:space="preserve"> sur </w:t>
          </w:r>
          <w:fldSimple w:instr=" NUMPAGES ">
            <w:r>
              <w:t>15</w:t>
            </w:r>
          </w:fldSimple>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8D5C4" w14:textId="77777777" w:rsidR="006D37FB" w:rsidRDefault="006D37FB">
      <w:r>
        <w:rPr>
          <w:color w:val="000000"/>
        </w:rPr>
        <w:separator/>
      </w:r>
    </w:p>
  </w:footnote>
  <w:footnote w:type="continuationSeparator" w:id="0">
    <w:p w14:paraId="6F302018" w14:textId="77777777" w:rsidR="006D37FB" w:rsidRDefault="006D37FB">
      <w:r>
        <w:continuationSeparator/>
      </w:r>
    </w:p>
  </w:footnote>
  <w:footnote w:type="continuationNotice" w:id="1">
    <w:p w14:paraId="1B6A04E6" w14:textId="77777777" w:rsidR="006D37FB" w:rsidRDefault="006D37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8490D" w14:textId="77777777" w:rsidR="008D2A55" w:rsidRDefault="008D2A55">
    <w:r>
      <w:cr/>
    </w:r>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232E"/>
    <w:multiLevelType w:val="multilevel"/>
    <w:tmpl w:val="A202A9D0"/>
    <w:styleLink w:val="LFO29"/>
    <w:lvl w:ilvl="0">
      <w:start w:val="1"/>
      <w:numFmt w:val="upperLetter"/>
      <w:pStyle w:val="LIAParagraphe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826AFB"/>
    <w:multiLevelType w:val="multilevel"/>
    <w:tmpl w:val="C90EBAE4"/>
    <w:styleLink w:val="LFO1"/>
    <w:lvl w:ilvl="0">
      <w:numFmt w:val="bullet"/>
      <w:pStyle w:val="RdaliaTableau"/>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37C113A8"/>
    <w:multiLevelType w:val="multilevel"/>
    <w:tmpl w:val="80FE223A"/>
    <w:styleLink w:val="LFO18"/>
    <w:lvl w:ilvl="0">
      <w:start w:val="1"/>
      <w:numFmt w:val="decimal"/>
      <w:suff w:val="space"/>
      <w:lvlText w:val="%1."/>
      <w:lvlJc w:val="left"/>
      <w:pPr>
        <w:ind w:left="360" w:hanging="360"/>
      </w:pPr>
    </w:lvl>
    <w:lvl w:ilvl="1">
      <w:start w:val="1"/>
      <w:numFmt w:val="decimal"/>
      <w:suff w:val="space"/>
      <w:lvlText w:val="%1.%2"/>
      <w:lvlJc w:val="left"/>
      <w:pPr>
        <w:ind w:left="720" w:hanging="360"/>
      </w:pPr>
    </w:lvl>
    <w:lvl w:ilvl="2">
      <w:start w:val="1"/>
      <w:numFmt w:val="decimal"/>
      <w:suff w:val="space"/>
      <w:lvlText w:val="%1.%2.%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21F6315"/>
    <w:multiLevelType w:val="multilevel"/>
    <w:tmpl w:val="ACDCE4CC"/>
    <w:styleLink w:val="Outline"/>
    <w:lvl w:ilvl="0">
      <w:start w:val="1"/>
      <w:numFmt w:val="decimal"/>
      <w:pStyle w:val="RedaliaTitre1"/>
      <w:lvlText w:val="%1."/>
      <w:lvlJc w:val="left"/>
      <w:pPr>
        <w:ind w:left="360" w:hanging="360"/>
      </w:pPr>
    </w:lvl>
    <w:lvl w:ilvl="1">
      <w:start w:val="1"/>
      <w:numFmt w:val="decimal"/>
      <w:pStyle w:val="RedaliaTitre2"/>
      <w:lvlText w:val="%1.%2"/>
      <w:lvlJc w:val="left"/>
      <w:pPr>
        <w:ind w:left="1070" w:hanging="360"/>
      </w:pPr>
    </w:lvl>
    <w:lvl w:ilvl="2">
      <w:start w:val="1"/>
      <w:numFmt w:val="decimal"/>
      <w:pStyle w:val="RedaliaTitre3"/>
      <w:lvlText w:val="%1.%2.%3"/>
      <w:lvlJc w:val="left"/>
      <w:pPr>
        <w:ind w:left="1080" w:hanging="36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4" w15:restartNumberingAfterBreak="0">
    <w:nsid w:val="46A857A8"/>
    <w:multiLevelType w:val="multilevel"/>
    <w:tmpl w:val="1D9AED36"/>
    <w:styleLink w:val="LFO24"/>
    <w:lvl w:ilvl="0">
      <w:numFmt w:val="bullet"/>
      <w:pStyle w:val="Elmentrecens"/>
      <w:lvlText w:val="●"/>
      <w:lvlJc w:val="left"/>
      <w:pPr>
        <w:ind w:left="284" w:firstLine="0"/>
      </w:p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48D600D4"/>
    <w:multiLevelType w:val="multilevel"/>
    <w:tmpl w:val="079660D2"/>
    <w:styleLink w:val="LFO20"/>
    <w:lvl w:ilvl="0">
      <w:numFmt w:val="bullet"/>
      <w:pStyle w:val="Redaliapuces"/>
      <w:lvlText w:val=""/>
      <w:lvlJc w:val="left"/>
      <w:pPr>
        <w:ind w:left="284" w:hanging="114"/>
      </w:pPr>
      <w:rPr>
        <w:rFonts w:ascii="Symbol"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Times New Roman"/>
      </w:rPr>
    </w:lvl>
    <w:lvl w:ilvl="3">
      <w:numFmt w:val="bullet"/>
      <w:lvlText w:val=""/>
      <w:lvlJc w:val="left"/>
      <w:pPr>
        <w:ind w:left="2880" w:hanging="360"/>
      </w:pPr>
      <w:rPr>
        <w:rFonts w:ascii="Symbol" w:hAnsi="Symbol" w:cs="Times New Roman"/>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Times New Roman"/>
      </w:rPr>
    </w:lvl>
    <w:lvl w:ilvl="6">
      <w:numFmt w:val="bullet"/>
      <w:lvlText w:val=""/>
      <w:lvlJc w:val="left"/>
      <w:pPr>
        <w:ind w:left="5040" w:hanging="360"/>
      </w:pPr>
      <w:rPr>
        <w:rFonts w:ascii="Symbol" w:hAnsi="Symbol" w:cs="Times New Roman"/>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Times New Roman"/>
      </w:rPr>
    </w:lvl>
  </w:abstractNum>
  <w:abstractNum w:abstractNumId="6" w15:restartNumberingAfterBreak="0">
    <w:nsid w:val="57E23FC6"/>
    <w:multiLevelType w:val="multilevel"/>
    <w:tmpl w:val="7E30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7950F2"/>
    <w:multiLevelType w:val="multilevel"/>
    <w:tmpl w:val="2D92BC7A"/>
    <w:styleLink w:val="LFO28"/>
    <w:lvl w:ilvl="0">
      <w:start w:val="1"/>
      <w:numFmt w:val="decimal"/>
      <w:pStyle w:val="LIAParagraphe1"/>
      <w:lvlText w:val="%1."/>
      <w:lvlJc w:val="left"/>
      <w:pPr>
        <w:ind w:left="36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6063732B"/>
    <w:multiLevelType w:val="multilevel"/>
    <w:tmpl w:val="FE8E123C"/>
    <w:styleLink w:val="LFO22"/>
    <w:lvl w:ilvl="0">
      <w:numFmt w:val="bullet"/>
      <w:pStyle w:val="AvecPuce"/>
      <w:lvlText w:val=""/>
      <w:lvlJc w:val="left"/>
      <w:pPr>
        <w:ind w:left="340" w:hanging="34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660D5A90"/>
    <w:multiLevelType w:val="multilevel"/>
    <w:tmpl w:val="0A72F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EA022D"/>
    <w:multiLevelType w:val="multilevel"/>
    <w:tmpl w:val="3E024FD4"/>
    <w:styleLink w:val="LFO21"/>
    <w:lvl w:ilvl="0">
      <w:numFmt w:val="bullet"/>
      <w:pStyle w:val="RedaliaRetraitavecpuce"/>
      <w:lvlText w:val=""/>
      <w:lvlJc w:val="left"/>
      <w:pPr>
        <w:ind w:left="720" w:hanging="360"/>
      </w:pPr>
      <w:rPr>
        <w:rFonts w:ascii="Symbol"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Times New Roman"/>
      </w:rPr>
    </w:lvl>
    <w:lvl w:ilvl="3">
      <w:numFmt w:val="bullet"/>
      <w:lvlText w:val=""/>
      <w:lvlJc w:val="left"/>
      <w:pPr>
        <w:ind w:left="2880" w:hanging="360"/>
      </w:pPr>
      <w:rPr>
        <w:rFonts w:ascii="Symbol" w:hAnsi="Symbol" w:cs="Times New Roman"/>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Times New Roman"/>
      </w:rPr>
    </w:lvl>
    <w:lvl w:ilvl="6">
      <w:numFmt w:val="bullet"/>
      <w:lvlText w:val=""/>
      <w:lvlJc w:val="left"/>
      <w:pPr>
        <w:ind w:left="5040" w:hanging="360"/>
      </w:pPr>
      <w:rPr>
        <w:rFonts w:ascii="Symbol" w:hAnsi="Symbol" w:cs="Times New Roman"/>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Times New Roman"/>
      </w:rPr>
    </w:lvl>
  </w:abstractNum>
  <w:abstractNum w:abstractNumId="11" w15:restartNumberingAfterBreak="0">
    <w:nsid w:val="700C582E"/>
    <w:multiLevelType w:val="multilevel"/>
    <w:tmpl w:val="3ED848A2"/>
    <w:styleLink w:val="LFO4"/>
    <w:lvl w:ilvl="0">
      <w:numFmt w:val="bullet"/>
      <w:pStyle w:val="RdaliaRetraitniveau1"/>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706B0109"/>
    <w:multiLevelType w:val="multilevel"/>
    <w:tmpl w:val="DC3CA9CC"/>
    <w:styleLink w:val="LFO5"/>
    <w:lvl w:ilvl="0">
      <w:numFmt w:val="bullet"/>
      <w:pStyle w:val="RdaliaRetraitniveau2"/>
      <w:lvlText w:val=""/>
      <w:lvlJc w:val="left"/>
      <w:pPr>
        <w:ind w:left="1060" w:hanging="360"/>
      </w:pPr>
      <w:rPr>
        <w:rFonts w:ascii="Symbol" w:hAnsi="Symbol"/>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76F2668F"/>
    <w:multiLevelType w:val="multilevel"/>
    <w:tmpl w:val="963E415E"/>
    <w:styleLink w:val="LFO23"/>
    <w:lvl w:ilvl="0">
      <w:start w:val="1"/>
      <w:numFmt w:val="decimal"/>
      <w:pStyle w:val="Chapitre"/>
      <w:lvlText w:val="%1."/>
      <w:lvlJc w:val="left"/>
      <w:pPr>
        <w:ind w:left="283" w:hanging="283"/>
      </w:pPr>
      <w:rPr>
        <w:rFonts w:ascii="Verdana" w:hAnsi="Verdana" w:cs="Verdana"/>
      </w:rPr>
    </w:lvl>
    <w:lvl w:ilvl="1">
      <w:start w:val="1"/>
      <w:numFmt w:val="decimal"/>
      <w:lvlText w:val="%1.%2."/>
      <w:lvlJc w:val="left"/>
      <w:pPr>
        <w:ind w:left="850" w:hanging="283"/>
      </w:pPr>
      <w:rPr>
        <w:rFonts w:cs="Times New Roman"/>
      </w:rPr>
    </w:lvl>
    <w:lvl w:ilvl="2">
      <w:start w:val="1"/>
      <w:numFmt w:val="decimal"/>
      <w:lvlText w:val="%1.%2.%3"/>
      <w:lvlJc w:val="left"/>
      <w:pPr>
        <w:ind w:left="720" w:firstLine="850"/>
      </w:pPr>
      <w:rPr>
        <w:rFonts w:cs="Times New Roman"/>
      </w:rPr>
    </w:lvl>
    <w:lvl w:ilvl="3">
      <w:start w:val="1"/>
      <w:numFmt w:val="decimal"/>
      <w:lvlText w:val="%1.%2.%3.%4."/>
      <w:lvlJc w:val="left"/>
      <w:pPr>
        <w:ind w:left="2578" w:hanging="648"/>
      </w:pPr>
      <w:rPr>
        <w:rFonts w:cs="Times New Roman"/>
      </w:rPr>
    </w:lvl>
    <w:lvl w:ilvl="4">
      <w:start w:val="1"/>
      <w:numFmt w:val="decimal"/>
      <w:lvlText w:val="%1.%2.%3.%4.%5."/>
      <w:lvlJc w:val="left"/>
      <w:pPr>
        <w:ind w:left="3082" w:hanging="792"/>
      </w:pPr>
      <w:rPr>
        <w:rFonts w:cs="Times New Roman"/>
      </w:rPr>
    </w:lvl>
    <w:lvl w:ilvl="5">
      <w:start w:val="1"/>
      <w:numFmt w:val="decimal"/>
      <w:lvlText w:val="%1.%2.%3.%4.%5.%6."/>
      <w:lvlJc w:val="left"/>
      <w:pPr>
        <w:ind w:left="3586" w:hanging="936"/>
      </w:pPr>
      <w:rPr>
        <w:rFonts w:cs="Times New Roman"/>
      </w:rPr>
    </w:lvl>
    <w:lvl w:ilvl="6">
      <w:start w:val="1"/>
      <w:numFmt w:val="decimal"/>
      <w:lvlText w:val="%1.%2.%3.%4.%5.%6.%7."/>
      <w:lvlJc w:val="left"/>
      <w:pPr>
        <w:ind w:left="4090" w:hanging="1080"/>
      </w:pPr>
      <w:rPr>
        <w:rFonts w:cs="Times New Roman"/>
      </w:rPr>
    </w:lvl>
    <w:lvl w:ilvl="7">
      <w:start w:val="1"/>
      <w:numFmt w:val="decimal"/>
      <w:lvlText w:val="%1.%2.%3.%4.%5.%6.%7.%8."/>
      <w:lvlJc w:val="left"/>
      <w:pPr>
        <w:ind w:left="4594" w:hanging="1224"/>
      </w:pPr>
      <w:rPr>
        <w:rFonts w:cs="Times New Roman"/>
      </w:rPr>
    </w:lvl>
    <w:lvl w:ilvl="8">
      <w:start w:val="1"/>
      <w:numFmt w:val="decimal"/>
      <w:lvlText w:val="%1.%2.%3.%4.%5.%6.%7.%8.%9."/>
      <w:lvlJc w:val="left"/>
      <w:pPr>
        <w:ind w:left="5170" w:hanging="1440"/>
      </w:pPr>
      <w:rPr>
        <w:rFonts w:cs="Times New Roman"/>
      </w:rPr>
    </w:lvl>
  </w:abstractNum>
  <w:num w:numId="1" w16cid:durableId="212234177">
    <w:abstractNumId w:val="3"/>
  </w:num>
  <w:num w:numId="2" w16cid:durableId="583300022">
    <w:abstractNumId w:val="1"/>
  </w:num>
  <w:num w:numId="3" w16cid:durableId="1735228253">
    <w:abstractNumId w:val="11"/>
  </w:num>
  <w:num w:numId="4" w16cid:durableId="1005590200">
    <w:abstractNumId w:val="12"/>
  </w:num>
  <w:num w:numId="5" w16cid:durableId="906694354">
    <w:abstractNumId w:val="2"/>
  </w:num>
  <w:num w:numId="6" w16cid:durableId="1562642811">
    <w:abstractNumId w:val="5"/>
  </w:num>
  <w:num w:numId="7" w16cid:durableId="90863039">
    <w:abstractNumId w:val="10"/>
  </w:num>
  <w:num w:numId="8" w16cid:durableId="47340152">
    <w:abstractNumId w:val="8"/>
  </w:num>
  <w:num w:numId="9" w16cid:durableId="231277435">
    <w:abstractNumId w:val="13"/>
  </w:num>
  <w:num w:numId="10" w16cid:durableId="1784880965">
    <w:abstractNumId w:val="4"/>
  </w:num>
  <w:num w:numId="11" w16cid:durableId="499351090">
    <w:abstractNumId w:val="7"/>
  </w:num>
  <w:num w:numId="12" w16cid:durableId="336032718">
    <w:abstractNumId w:val="0"/>
  </w:num>
  <w:num w:numId="13" w16cid:durableId="1663700937">
    <w:abstractNumId w:val="10"/>
  </w:num>
  <w:num w:numId="14" w16cid:durableId="2033065052">
    <w:abstractNumId w:val="12"/>
  </w:num>
  <w:num w:numId="15" w16cid:durableId="295306395">
    <w:abstractNumId w:val="10"/>
  </w:num>
  <w:num w:numId="16" w16cid:durableId="1870725491">
    <w:abstractNumId w:val="12"/>
  </w:num>
  <w:num w:numId="17" w16cid:durableId="227344889">
    <w:abstractNumId w:val="10"/>
  </w:num>
  <w:num w:numId="18" w16cid:durableId="2062900714">
    <w:abstractNumId w:val="12"/>
  </w:num>
  <w:num w:numId="19" w16cid:durableId="476652088">
    <w:abstractNumId w:val="10"/>
  </w:num>
  <w:num w:numId="20" w16cid:durableId="2144881969">
    <w:abstractNumId w:val="12"/>
  </w:num>
  <w:num w:numId="21" w16cid:durableId="1144929813">
    <w:abstractNumId w:val="10"/>
  </w:num>
  <w:num w:numId="22" w16cid:durableId="289895798">
    <w:abstractNumId w:val="12"/>
  </w:num>
  <w:num w:numId="23" w16cid:durableId="1077243104">
    <w:abstractNumId w:val="10"/>
  </w:num>
  <w:num w:numId="24" w16cid:durableId="1125923208">
    <w:abstractNumId w:val="12"/>
  </w:num>
  <w:num w:numId="25" w16cid:durableId="385378538">
    <w:abstractNumId w:val="10"/>
  </w:num>
  <w:num w:numId="26" w16cid:durableId="1701928973">
    <w:abstractNumId w:val="12"/>
  </w:num>
  <w:num w:numId="27" w16cid:durableId="1797287325">
    <w:abstractNumId w:val="10"/>
  </w:num>
  <w:num w:numId="28" w16cid:durableId="439302743">
    <w:abstractNumId w:val="12"/>
  </w:num>
  <w:num w:numId="29" w16cid:durableId="1237131647">
    <w:abstractNumId w:val="10"/>
  </w:num>
  <w:num w:numId="30" w16cid:durableId="136647814">
    <w:abstractNumId w:val="5"/>
  </w:num>
  <w:num w:numId="31" w16cid:durableId="942035632">
    <w:abstractNumId w:val="10"/>
  </w:num>
  <w:num w:numId="32" w16cid:durableId="1873224272">
    <w:abstractNumId w:val="6"/>
  </w:num>
  <w:num w:numId="33" w16cid:durableId="15670365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67E"/>
    <w:rsid w:val="000B2C27"/>
    <w:rsid w:val="000F1BF7"/>
    <w:rsid w:val="001164F9"/>
    <w:rsid w:val="00121C60"/>
    <w:rsid w:val="001359BB"/>
    <w:rsid w:val="00155DE8"/>
    <w:rsid w:val="001D46BE"/>
    <w:rsid w:val="001D6163"/>
    <w:rsid w:val="002007B4"/>
    <w:rsid w:val="00251E07"/>
    <w:rsid w:val="002606FF"/>
    <w:rsid w:val="002837BF"/>
    <w:rsid w:val="002A1183"/>
    <w:rsid w:val="002D3520"/>
    <w:rsid w:val="002F4F2A"/>
    <w:rsid w:val="0031217D"/>
    <w:rsid w:val="003365CA"/>
    <w:rsid w:val="003369CF"/>
    <w:rsid w:val="00364C8B"/>
    <w:rsid w:val="00390A7B"/>
    <w:rsid w:val="003C299C"/>
    <w:rsid w:val="003C33DD"/>
    <w:rsid w:val="003C4344"/>
    <w:rsid w:val="003C5EC0"/>
    <w:rsid w:val="0044006F"/>
    <w:rsid w:val="00441C57"/>
    <w:rsid w:val="004848D7"/>
    <w:rsid w:val="004A125A"/>
    <w:rsid w:val="004E1C5C"/>
    <w:rsid w:val="004F2F1F"/>
    <w:rsid w:val="005338F9"/>
    <w:rsid w:val="005A3113"/>
    <w:rsid w:val="005E7B82"/>
    <w:rsid w:val="005F7E0F"/>
    <w:rsid w:val="00603BFD"/>
    <w:rsid w:val="0061173D"/>
    <w:rsid w:val="0061775B"/>
    <w:rsid w:val="0063567E"/>
    <w:rsid w:val="00657739"/>
    <w:rsid w:val="00680640"/>
    <w:rsid w:val="00685427"/>
    <w:rsid w:val="006977ED"/>
    <w:rsid w:val="006D37FB"/>
    <w:rsid w:val="00723456"/>
    <w:rsid w:val="008418E8"/>
    <w:rsid w:val="00887E51"/>
    <w:rsid w:val="00892748"/>
    <w:rsid w:val="008B2E51"/>
    <w:rsid w:val="008D2764"/>
    <w:rsid w:val="008D2A55"/>
    <w:rsid w:val="00912A4B"/>
    <w:rsid w:val="009310BB"/>
    <w:rsid w:val="00943109"/>
    <w:rsid w:val="00951FD7"/>
    <w:rsid w:val="009949DC"/>
    <w:rsid w:val="009A2750"/>
    <w:rsid w:val="009A31CB"/>
    <w:rsid w:val="009C53B9"/>
    <w:rsid w:val="009E7C98"/>
    <w:rsid w:val="009F3875"/>
    <w:rsid w:val="009F4243"/>
    <w:rsid w:val="00A03748"/>
    <w:rsid w:val="00A41F89"/>
    <w:rsid w:val="00A46C82"/>
    <w:rsid w:val="00AA6CF9"/>
    <w:rsid w:val="00AC023B"/>
    <w:rsid w:val="00B25529"/>
    <w:rsid w:val="00B347AE"/>
    <w:rsid w:val="00B55985"/>
    <w:rsid w:val="00BB4537"/>
    <w:rsid w:val="00BC571A"/>
    <w:rsid w:val="00C2492D"/>
    <w:rsid w:val="00C4725E"/>
    <w:rsid w:val="00C52DE4"/>
    <w:rsid w:val="00C5530F"/>
    <w:rsid w:val="00CD3DFC"/>
    <w:rsid w:val="00CF137A"/>
    <w:rsid w:val="00D22C96"/>
    <w:rsid w:val="00D2395A"/>
    <w:rsid w:val="00D80B0D"/>
    <w:rsid w:val="00DD2F8D"/>
    <w:rsid w:val="00DD79D3"/>
    <w:rsid w:val="00E14FF8"/>
    <w:rsid w:val="00E7267B"/>
    <w:rsid w:val="00E74AB2"/>
    <w:rsid w:val="00E76784"/>
    <w:rsid w:val="00E96024"/>
    <w:rsid w:val="00E97EEB"/>
    <w:rsid w:val="00EB421B"/>
    <w:rsid w:val="00ED44E8"/>
    <w:rsid w:val="00F05133"/>
    <w:rsid w:val="00F11534"/>
    <w:rsid w:val="00F27BDB"/>
    <w:rsid w:val="00F43BE9"/>
    <w:rsid w:val="00F511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C916"/>
  <w15:docId w15:val="{58784576-DBFF-4928-9049-00BC0CDAE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Arial" w:hAnsi="Arial"/>
      <w:sz w:val="22"/>
    </w:rPr>
  </w:style>
  <w:style w:type="paragraph" w:styleId="Titre1">
    <w:name w:val="heading 1"/>
    <w:basedOn w:val="Normal"/>
    <w:next w:val="Normal"/>
    <w:uiPriority w:val="9"/>
    <w:qFormat/>
    <w:pPr>
      <w:keepNext/>
      <w:spacing w:before="240" w:after="160"/>
      <w:outlineLvl w:val="0"/>
    </w:pPr>
    <w:rPr>
      <w:b/>
      <w:kern w:val="3"/>
      <w:sz w:val="32"/>
    </w:rPr>
  </w:style>
  <w:style w:type="paragraph" w:styleId="Titre2">
    <w:name w:val="heading 2"/>
    <w:basedOn w:val="Normal"/>
    <w:next w:val="Normal"/>
    <w:uiPriority w:val="9"/>
    <w:unhideWhenUsed/>
    <w:qFormat/>
    <w:pPr>
      <w:keepNext/>
      <w:spacing w:before="240" w:after="160"/>
      <w:outlineLvl w:val="1"/>
    </w:pPr>
    <w:rPr>
      <w:sz w:val="28"/>
      <w:u w:val="single"/>
    </w:rPr>
  </w:style>
  <w:style w:type="paragraph" w:styleId="Titre3">
    <w:name w:val="heading 3"/>
    <w:basedOn w:val="Normal"/>
    <w:next w:val="Normal"/>
    <w:uiPriority w:val="9"/>
    <w:unhideWhenUsed/>
    <w:qFormat/>
    <w:pPr>
      <w:keepNext/>
      <w:spacing w:before="240" w:after="160"/>
      <w:outlineLvl w:val="2"/>
    </w:pPr>
    <w:rPr>
      <w:sz w:val="24"/>
      <w:u w:val="single"/>
    </w:rPr>
  </w:style>
  <w:style w:type="paragraph" w:styleId="Titre4">
    <w:name w:val="heading 4"/>
    <w:basedOn w:val="Normal"/>
    <w:next w:val="Normal"/>
    <w:uiPriority w:val="9"/>
    <w:unhideWhenUsed/>
    <w:qFormat/>
    <w:pPr>
      <w:keepNext/>
      <w:spacing w:before="240" w:after="60"/>
      <w:ind w:left="567"/>
      <w:outlineLvl w:val="3"/>
    </w:pPr>
    <w:rPr>
      <w:i/>
      <w:sz w:val="24"/>
    </w:rPr>
  </w:style>
  <w:style w:type="paragraph" w:styleId="Titre5">
    <w:name w:val="heading 5"/>
    <w:basedOn w:val="Normal"/>
    <w:next w:val="Normal"/>
    <w:uiPriority w:val="9"/>
    <w:semiHidden/>
    <w:unhideWhenUsed/>
    <w:qFormat/>
    <w:pPr>
      <w:spacing w:before="240" w:after="60"/>
      <w:ind w:left="1134"/>
      <w:outlineLvl w:val="4"/>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Outline">
    <w:name w:val="Outline"/>
    <w:basedOn w:val="Aucuneliste"/>
    <w:pPr>
      <w:numPr>
        <w:numId w:val="1"/>
      </w:numPr>
    </w:pPr>
  </w:style>
  <w:style w:type="paragraph" w:customStyle="1" w:styleId="Standard">
    <w:name w:val="Standard"/>
  </w:style>
  <w:style w:type="paragraph" w:customStyle="1" w:styleId="RedaliaTitre2">
    <w:name w:val="Redalia Titre 2"/>
    <w:basedOn w:val="Normal"/>
    <w:next w:val="Normal"/>
    <w:pPr>
      <w:numPr>
        <w:ilvl w:val="1"/>
        <w:numId w:val="1"/>
      </w:numPr>
      <w:spacing w:before="240" w:after="160"/>
      <w:ind w:left="720"/>
      <w:outlineLvl w:val="1"/>
    </w:pPr>
    <w:rPr>
      <w:sz w:val="28"/>
      <w:u w:val="single"/>
    </w:rPr>
  </w:style>
  <w:style w:type="paragraph" w:customStyle="1" w:styleId="RedaliaTitre3">
    <w:name w:val="Redalia Titre 3"/>
    <w:basedOn w:val="Normal"/>
    <w:pPr>
      <w:numPr>
        <w:ilvl w:val="2"/>
        <w:numId w:val="1"/>
      </w:numPr>
      <w:overflowPunct w:val="0"/>
      <w:autoSpaceDE w:val="0"/>
      <w:spacing w:before="240" w:after="160"/>
      <w:jc w:val="both"/>
      <w:outlineLvl w:val="2"/>
    </w:pPr>
    <w:rPr>
      <w:sz w:val="24"/>
      <w:u w:val="single"/>
    </w:rPr>
  </w:style>
  <w:style w:type="paragraph" w:customStyle="1" w:styleId="RedaliaTitre1">
    <w:name w:val="Redalia Titre 1"/>
    <w:basedOn w:val="Normal"/>
    <w:pPr>
      <w:numPr>
        <w:numId w:val="1"/>
      </w:numPr>
      <w:spacing w:before="240" w:after="160"/>
      <w:outlineLvl w:val="0"/>
    </w:pPr>
    <w:rPr>
      <w:b/>
      <w:sz w:val="32"/>
    </w:rPr>
  </w:style>
  <w:style w:type="paragraph" w:customStyle="1" w:styleId="RedaliaTitredocument">
    <w:name w:val="Redalia : Titre document"/>
    <w:basedOn w:val="RedaliaNormal"/>
    <w:pPr>
      <w:jc w:val="center"/>
    </w:pPr>
    <w:rPr>
      <w:b/>
      <w:sz w:val="40"/>
    </w:rPr>
  </w:style>
  <w:style w:type="paragraph" w:customStyle="1" w:styleId="Courriercivilit">
    <w:name w:val="Courrier civilité"/>
    <w:basedOn w:val="Normal"/>
    <w:pPr>
      <w:tabs>
        <w:tab w:val="left" w:pos="1134"/>
      </w:tabs>
    </w:pPr>
  </w:style>
  <w:style w:type="paragraph" w:customStyle="1" w:styleId="Courrierdate">
    <w:name w:val="Courrier date"/>
    <w:basedOn w:val="Normal"/>
    <w:pPr>
      <w:jc w:val="right"/>
    </w:pPr>
  </w:style>
  <w:style w:type="paragraph" w:customStyle="1" w:styleId="Courrierdest">
    <w:name w:val="Courrier dest"/>
    <w:basedOn w:val="Normal"/>
  </w:style>
  <w:style w:type="paragraph" w:customStyle="1" w:styleId="Courriersign">
    <w:name w:val="Courrier sign"/>
    <w:basedOn w:val="Courrierdest"/>
    <w:rPr>
      <w:caps/>
    </w:rPr>
  </w:style>
  <w:style w:type="paragraph" w:customStyle="1" w:styleId="Courriertext">
    <w:name w:val="Courrier text"/>
    <w:basedOn w:val="Normal"/>
    <w:pPr>
      <w:jc w:val="both"/>
    </w:pPr>
  </w:style>
  <w:style w:type="paragraph" w:customStyle="1" w:styleId="Dossierune">
    <w:name w:val="Dossier une"/>
    <w:basedOn w:val="Normal"/>
    <w:pPr>
      <w:jc w:val="center"/>
    </w:pPr>
    <w:rPr>
      <w:sz w:val="72"/>
    </w:rPr>
  </w:style>
  <w:style w:type="paragraph" w:customStyle="1" w:styleId="Dossierobjet">
    <w:name w:val="Dossier objet"/>
    <w:basedOn w:val="Dossierune"/>
    <w:rPr>
      <w:sz w:val="48"/>
    </w:rPr>
  </w:style>
  <w:style w:type="paragraph" w:customStyle="1" w:styleId="DossierobjetRdalia">
    <w:name w:val="Dossier objet Rédalia"/>
    <w:basedOn w:val="Dossierobjet"/>
    <w:next w:val="Normal"/>
    <w:rPr>
      <w:sz w:val="36"/>
    </w:rPr>
  </w:style>
  <w:style w:type="paragraph" w:customStyle="1" w:styleId="Dossiertitre">
    <w:name w:val="Dossier titre"/>
    <w:basedOn w:val="Dossierobjet"/>
    <w:pPr>
      <w:pBdr>
        <w:bottom w:val="single" w:sz="6" w:space="1" w:color="000000"/>
      </w:pBdr>
    </w:pPr>
    <w:rPr>
      <w:sz w:val="40"/>
    </w:rPr>
  </w:style>
  <w:style w:type="paragraph" w:customStyle="1" w:styleId="DossiertitreRedalia">
    <w:name w:val="Dossier titre Redalia"/>
    <w:basedOn w:val="Dossiertitre"/>
    <w:pPr>
      <w:jc w:val="left"/>
    </w:pPr>
    <w:rPr>
      <w:sz w:val="32"/>
    </w:rPr>
  </w:style>
  <w:style w:type="paragraph" w:customStyle="1" w:styleId="Enttecentre">
    <w:name w:val="Entête centre"/>
    <w:basedOn w:val="Normal"/>
    <w:pPr>
      <w:jc w:val="center"/>
    </w:pPr>
  </w:style>
  <w:style w:type="paragraph" w:customStyle="1" w:styleId="Enttedrte">
    <w:name w:val="Entête drte"/>
    <w:basedOn w:val="Normal"/>
    <w:pPr>
      <w:jc w:val="right"/>
    </w:pPr>
  </w:style>
  <w:style w:type="paragraph" w:customStyle="1" w:styleId="Enttegche">
    <w:name w:val="Entête gche"/>
    <w:basedOn w:val="Normal"/>
  </w:style>
  <w:style w:type="paragraph" w:customStyle="1" w:styleId="Enttemilieu">
    <w:name w:val="Entête milieu"/>
    <w:basedOn w:val="Normal"/>
    <w:pPr>
      <w:jc w:val="center"/>
    </w:pPr>
    <w:rPr>
      <w:sz w:val="28"/>
    </w:rPr>
  </w:style>
  <w:style w:type="paragraph" w:customStyle="1" w:styleId="PagedegardeRdalia">
    <w:name w:val="Page de garde Rédalia"/>
    <w:basedOn w:val="Normal"/>
    <w:next w:val="Normal"/>
    <w:rPr>
      <w:b/>
      <w:sz w:val="28"/>
    </w:rPr>
  </w:style>
  <w:style w:type="paragraph" w:customStyle="1" w:styleId="Piedpagecentre">
    <w:name w:val="Piedpage centre"/>
    <w:basedOn w:val="Normal"/>
    <w:pPr>
      <w:jc w:val="center"/>
    </w:pPr>
  </w:style>
  <w:style w:type="paragraph" w:customStyle="1" w:styleId="Piedpagedrte">
    <w:name w:val="Piedpage drte"/>
    <w:basedOn w:val="Normal"/>
    <w:pPr>
      <w:jc w:val="right"/>
    </w:pPr>
  </w:style>
  <w:style w:type="paragraph" w:customStyle="1" w:styleId="Piedpagegche">
    <w:name w:val="Piedpage gche"/>
    <w:basedOn w:val="Normal"/>
  </w:style>
  <w:style w:type="paragraph" w:customStyle="1" w:styleId="Tableau10centre">
    <w:name w:val="Tableau 10 centre"/>
    <w:basedOn w:val="Normal"/>
    <w:pPr>
      <w:jc w:val="center"/>
    </w:pPr>
  </w:style>
  <w:style w:type="paragraph" w:customStyle="1" w:styleId="Tableau10drte">
    <w:name w:val="Tableau 10 drte"/>
    <w:basedOn w:val="Normal"/>
    <w:pPr>
      <w:jc w:val="right"/>
    </w:pPr>
  </w:style>
  <w:style w:type="paragraph" w:customStyle="1" w:styleId="Tableau10gche">
    <w:name w:val="Tableau 10 gche"/>
    <w:basedOn w:val="Normal"/>
  </w:style>
  <w:style w:type="paragraph" w:customStyle="1" w:styleId="Tableau11centre">
    <w:name w:val="Tableau 11 centre"/>
    <w:basedOn w:val="Normal"/>
    <w:pPr>
      <w:jc w:val="center"/>
    </w:pPr>
  </w:style>
  <w:style w:type="paragraph" w:customStyle="1" w:styleId="Tableau11drte">
    <w:name w:val="Tableau 11 drte"/>
    <w:basedOn w:val="Normal"/>
    <w:pPr>
      <w:jc w:val="right"/>
    </w:pPr>
  </w:style>
  <w:style w:type="paragraph" w:customStyle="1" w:styleId="Tableau11gche">
    <w:name w:val="Tableau 11 gche"/>
    <w:basedOn w:val="Normal"/>
  </w:style>
  <w:style w:type="paragraph" w:customStyle="1" w:styleId="Tableau8centre">
    <w:name w:val="Tableau 8 centre"/>
    <w:basedOn w:val="Normal"/>
    <w:pPr>
      <w:jc w:val="center"/>
    </w:pPr>
    <w:rPr>
      <w:sz w:val="16"/>
    </w:rPr>
  </w:style>
  <w:style w:type="paragraph" w:customStyle="1" w:styleId="Tableau8drte">
    <w:name w:val="Tableau 8 drte"/>
    <w:basedOn w:val="Normal"/>
    <w:pPr>
      <w:jc w:val="right"/>
    </w:pPr>
    <w:rPr>
      <w:sz w:val="16"/>
    </w:rPr>
  </w:style>
  <w:style w:type="paragraph" w:customStyle="1" w:styleId="Tableau8gche">
    <w:name w:val="Tableau 8 gche"/>
    <w:basedOn w:val="Normal"/>
    <w:rPr>
      <w:sz w:val="16"/>
    </w:rPr>
  </w:style>
  <w:style w:type="paragraph" w:customStyle="1" w:styleId="Titredetableau">
    <w:name w:val="Titre de tableau"/>
    <w:basedOn w:val="Tableau11centre"/>
    <w:rPr>
      <w:b/>
    </w:rPr>
  </w:style>
  <w:style w:type="paragraph" w:customStyle="1" w:styleId="TitreN1">
    <w:name w:val="Titre N1"/>
    <w:basedOn w:val="Titre1"/>
    <w:pPr>
      <w:ind w:left="283" w:hanging="283"/>
    </w:pPr>
  </w:style>
  <w:style w:type="paragraph" w:customStyle="1" w:styleId="TitreN2">
    <w:name w:val="Titre N2"/>
    <w:basedOn w:val="Titre2"/>
    <w:pPr>
      <w:ind w:left="283" w:hanging="283"/>
    </w:pPr>
  </w:style>
  <w:style w:type="paragraph" w:customStyle="1" w:styleId="TitreN3">
    <w:name w:val="Titre N3"/>
    <w:basedOn w:val="Titre3"/>
    <w:pPr>
      <w:ind w:left="283" w:hanging="283"/>
    </w:pPr>
  </w:style>
  <w:style w:type="paragraph" w:customStyle="1" w:styleId="TitreN4">
    <w:name w:val="Titre N4"/>
    <w:basedOn w:val="Titre4"/>
    <w:pPr>
      <w:ind w:left="850" w:hanging="283"/>
    </w:pPr>
  </w:style>
  <w:style w:type="paragraph" w:customStyle="1" w:styleId="TitreN5">
    <w:name w:val="Titre N5"/>
    <w:basedOn w:val="Titre5"/>
    <w:pPr>
      <w:ind w:left="1417" w:hanging="283"/>
    </w:pPr>
  </w:style>
  <w:style w:type="paragraph" w:styleId="TM1">
    <w:name w:val="toc 1"/>
    <w:basedOn w:val="Titre1"/>
    <w:next w:val="Normal"/>
    <w:pPr>
      <w:keepNext w:val="0"/>
      <w:tabs>
        <w:tab w:val="right" w:leader="dot" w:pos="9072"/>
      </w:tabs>
      <w:spacing w:before="120" w:after="0"/>
    </w:pPr>
    <w:rPr>
      <w:sz w:val="24"/>
    </w:rPr>
  </w:style>
  <w:style w:type="paragraph" w:styleId="TM2">
    <w:name w:val="toc 2"/>
    <w:basedOn w:val="Titre2"/>
    <w:next w:val="Normal"/>
    <w:pPr>
      <w:keepNext w:val="0"/>
      <w:tabs>
        <w:tab w:val="right" w:leader="dot" w:pos="9072"/>
      </w:tabs>
      <w:spacing w:before="120" w:after="0"/>
      <w:ind w:left="198"/>
    </w:pPr>
    <w:rPr>
      <w:sz w:val="22"/>
      <w:u w:val="none"/>
    </w:rPr>
  </w:style>
  <w:style w:type="paragraph" w:styleId="TM3">
    <w:name w:val="toc 3"/>
    <w:basedOn w:val="Titre3"/>
    <w:next w:val="Normal"/>
    <w:pPr>
      <w:keepNext w:val="0"/>
      <w:tabs>
        <w:tab w:val="right" w:leader="dot" w:pos="9072"/>
      </w:tabs>
      <w:spacing w:before="120" w:after="0"/>
      <w:ind w:left="403"/>
    </w:pPr>
    <w:rPr>
      <w:sz w:val="20"/>
      <w:u w:val="none"/>
    </w:rPr>
  </w:style>
  <w:style w:type="paragraph" w:styleId="TM4">
    <w:name w:val="toc 4"/>
    <w:basedOn w:val="Titre4"/>
    <w:next w:val="Normal"/>
    <w:pPr>
      <w:keepNext w:val="0"/>
      <w:tabs>
        <w:tab w:val="right" w:leader="dot" w:pos="9072"/>
      </w:tabs>
      <w:spacing w:before="120" w:after="0"/>
      <w:ind w:left="601"/>
    </w:pPr>
    <w:rPr>
      <w:sz w:val="22"/>
    </w:rPr>
  </w:style>
  <w:style w:type="paragraph" w:styleId="TM5">
    <w:name w:val="toc 5"/>
    <w:basedOn w:val="Titre5"/>
    <w:next w:val="Normal"/>
    <w:pPr>
      <w:tabs>
        <w:tab w:val="right" w:leader="dot" w:pos="9072"/>
      </w:tabs>
      <w:spacing w:before="120" w:after="0"/>
      <w:ind w:left="799"/>
    </w:pPr>
  </w:style>
  <w:style w:type="paragraph" w:customStyle="1" w:styleId="CondInsert">
    <w:name w:val="Cond Insert"/>
    <w:basedOn w:val="Normal"/>
    <w:next w:val="Normal"/>
    <w:pPr>
      <w:tabs>
        <w:tab w:val="right" w:leader="dot" w:pos="9000"/>
      </w:tabs>
    </w:pPr>
    <w:rPr>
      <w:rFonts w:cs="Arial"/>
      <w:b/>
      <w:bCs/>
      <w:color w:val="0000FF"/>
    </w:rPr>
  </w:style>
  <w:style w:type="paragraph" w:customStyle="1" w:styleId="RdaliaCondens">
    <w:name w:val="Rédalia : Condensé"/>
    <w:basedOn w:val="Normal"/>
    <w:pPr>
      <w:spacing w:before="40"/>
      <w:jc w:val="both"/>
    </w:pPr>
    <w:rPr>
      <w:sz w:val="16"/>
    </w:rPr>
  </w:style>
  <w:style w:type="paragraph" w:customStyle="1" w:styleId="RdaliaLgende">
    <w:name w:val="Rédalia : Légende"/>
    <w:basedOn w:val="Normal"/>
    <w:pPr>
      <w:ind w:left="284" w:hanging="284"/>
      <w:jc w:val="both"/>
    </w:pPr>
    <w:rPr>
      <w:i/>
      <w:sz w:val="16"/>
    </w:rPr>
  </w:style>
  <w:style w:type="paragraph" w:customStyle="1" w:styleId="RedaliaNormal">
    <w:name w:val="Redalia : Normal"/>
    <w:basedOn w:val="Normal"/>
    <w:pPr>
      <w:tabs>
        <w:tab w:val="left" w:leader="dot" w:pos="8505"/>
      </w:tabs>
      <w:spacing w:before="40"/>
      <w:jc w:val="both"/>
    </w:pPr>
  </w:style>
  <w:style w:type="paragraph" w:customStyle="1" w:styleId="RdaliaRetraitniveau1">
    <w:name w:val="Rédalia : Retrait niveau 1"/>
    <w:basedOn w:val="RedaliaNormal"/>
    <w:pPr>
      <w:numPr>
        <w:numId w:val="3"/>
      </w:numPr>
    </w:pPr>
  </w:style>
  <w:style w:type="paragraph" w:customStyle="1" w:styleId="RdaliaRetraitniveau2">
    <w:name w:val="Rédalia : Retrait niveau 2"/>
    <w:basedOn w:val="RedaliaNormal"/>
    <w:pPr>
      <w:numPr>
        <w:numId w:val="4"/>
      </w:numPr>
    </w:pPr>
  </w:style>
  <w:style w:type="paragraph" w:customStyle="1" w:styleId="RdaliaTableau">
    <w:name w:val="Rédalia : Tableau"/>
    <w:basedOn w:val="RedaliaNormal"/>
    <w:pPr>
      <w:numPr>
        <w:numId w:val="2"/>
      </w:numPr>
    </w:pPr>
    <w:rPr>
      <w:b/>
      <w:color w:val="0000FF"/>
    </w:rPr>
  </w:style>
  <w:style w:type="paragraph" w:customStyle="1" w:styleId="RdaliaTextemasqu">
    <w:name w:val="Rédalia : Texte masqué"/>
    <w:basedOn w:val="RdaliaRetraitniveau1"/>
    <w:pPr>
      <w:shd w:val="clear" w:color="auto" w:fill="FFFFFF"/>
    </w:pPr>
    <w:rPr>
      <w:vanish/>
      <w:sz w:val="20"/>
    </w:rPr>
  </w:style>
  <w:style w:type="paragraph" w:customStyle="1" w:styleId="RdaliaTitredestableaux">
    <w:name w:val="Rédalia : Titre des tableaux"/>
    <w:basedOn w:val="RedaliaNormal"/>
    <w:pPr>
      <w:jc w:val="center"/>
    </w:pPr>
    <w:rPr>
      <w:b/>
    </w:rPr>
  </w:style>
  <w:style w:type="paragraph" w:customStyle="1" w:styleId="RdaliaTitredossier">
    <w:name w:val="Rédalia : Titre dossier"/>
    <w:basedOn w:val="Dossierune"/>
    <w:rPr>
      <w:sz w:val="48"/>
    </w:rPr>
  </w:style>
  <w:style w:type="paragraph" w:customStyle="1" w:styleId="RdaliaTitreparagraphe">
    <w:name w:val="Rédalia : Titre paragraphe"/>
    <w:basedOn w:val="Dossiertitre"/>
    <w:pPr>
      <w:spacing w:before="320" w:after="240"/>
      <w:jc w:val="left"/>
    </w:pPr>
    <w:rPr>
      <w:sz w:val="32"/>
    </w:rPr>
  </w:style>
  <w:style w:type="paragraph" w:customStyle="1" w:styleId="RdaliaTitretableaucondens">
    <w:name w:val="Rédalia : Titre tableau condensé"/>
    <w:basedOn w:val="Normal"/>
    <w:pPr>
      <w:spacing w:before="40"/>
      <w:jc w:val="both"/>
    </w:pPr>
    <w:rPr>
      <w:b/>
      <w:sz w:val="18"/>
    </w:rPr>
  </w:style>
  <w:style w:type="paragraph" w:customStyle="1" w:styleId="RdaliaZonecandidat">
    <w:name w:val="Rédalia : Zone candidat"/>
    <w:basedOn w:val="Normal"/>
    <w:pPr>
      <w:shd w:val="clear" w:color="auto" w:fill="00FFFF"/>
      <w:spacing w:before="40"/>
      <w:jc w:val="center"/>
    </w:pPr>
    <w:rPr>
      <w:sz w:val="18"/>
    </w:rPr>
  </w:style>
  <w:style w:type="paragraph" w:customStyle="1" w:styleId="Concilianormal">
    <w:name w:val="Concilia normal"/>
    <w:basedOn w:val="Normal"/>
    <w:rPr>
      <w:rFonts w:cs="Arial"/>
      <w:szCs w:val="22"/>
    </w:rPr>
  </w:style>
  <w:style w:type="paragraph" w:customStyle="1" w:styleId="Conciliatitre">
    <w:name w:val="Concilia titre"/>
    <w:basedOn w:val="Concilianormal"/>
    <w:pPr>
      <w:jc w:val="center"/>
    </w:pPr>
    <w:rPr>
      <w:b/>
      <w:bCs/>
      <w:sz w:val="32"/>
      <w:szCs w:val="32"/>
    </w:rPr>
  </w:style>
  <w:style w:type="paragraph" w:customStyle="1" w:styleId="LIANormal">
    <w:name w:val="LIA : Normal"/>
    <w:basedOn w:val="Normal"/>
    <w:pPr>
      <w:overflowPunct w:val="0"/>
      <w:autoSpaceDE w:val="0"/>
      <w:jc w:val="both"/>
    </w:pPr>
    <w:rPr>
      <w:szCs w:val="18"/>
    </w:rPr>
  </w:style>
  <w:style w:type="paragraph" w:customStyle="1" w:styleId="LIACasecocher">
    <w:name w:val="LIA : Case à cocher"/>
    <w:basedOn w:val="LIANormal"/>
    <w:rPr>
      <w:rFonts w:ascii="Wingdings" w:hAnsi="Wingdings" w:cs="Wingdings"/>
    </w:rPr>
  </w:style>
  <w:style w:type="paragraph" w:customStyle="1" w:styleId="LIACondense">
    <w:name w:val="LIA : Condense"/>
    <w:basedOn w:val="LIANormal"/>
    <w:autoRedefine/>
    <w:pPr>
      <w:spacing w:before="120" w:after="120"/>
    </w:pPr>
    <w:rPr>
      <w:sz w:val="18"/>
      <w:szCs w:val="16"/>
    </w:rPr>
  </w:style>
  <w:style w:type="paragraph" w:customStyle="1" w:styleId="LiaTitre">
    <w:name w:val="Lia : Titre"/>
    <w:basedOn w:val="Normal"/>
    <w:pPr>
      <w:tabs>
        <w:tab w:val="left" w:leader="dot" w:pos="8505"/>
      </w:tabs>
      <w:overflowPunct w:val="0"/>
      <w:autoSpaceDE w:val="0"/>
      <w:spacing w:before="40"/>
      <w:jc w:val="both"/>
    </w:pPr>
    <w:rPr>
      <w:b/>
      <w:bCs/>
      <w:i/>
      <w:iCs/>
    </w:rPr>
  </w:style>
  <w:style w:type="paragraph" w:customStyle="1" w:styleId="LIAErreur">
    <w:name w:val="LIA : Erreur"/>
    <w:basedOn w:val="LIANormal"/>
    <w:pPr>
      <w:jc w:val="center"/>
    </w:pPr>
    <w:rPr>
      <w:b/>
      <w:bCs/>
      <w:i/>
      <w:iCs/>
      <w:sz w:val="24"/>
      <w:szCs w:val="24"/>
    </w:rPr>
  </w:style>
  <w:style w:type="paragraph" w:customStyle="1" w:styleId="LILIATitre1">
    <w:name w:val="LILIA : Titre 1"/>
    <w:basedOn w:val="LiaTitre"/>
    <w:pPr>
      <w:jc w:val="center"/>
    </w:pPr>
    <w:rPr>
      <w:caps/>
    </w:rPr>
  </w:style>
  <w:style w:type="paragraph" w:customStyle="1" w:styleId="LILIATitre2">
    <w:name w:val="LILIA : Titre 2"/>
    <w:basedOn w:val="LILIATitre1"/>
    <w:next w:val="Normal"/>
    <w:pPr>
      <w:jc w:val="left"/>
    </w:pPr>
  </w:style>
  <w:style w:type="paragraph" w:customStyle="1" w:styleId="STabCentre">
    <w:name w:val="STab Centre"/>
    <w:basedOn w:val="Normal"/>
    <w:pPr>
      <w:jc w:val="center"/>
    </w:pPr>
  </w:style>
  <w:style w:type="paragraph" w:customStyle="1" w:styleId="LiaLibell">
    <w:name w:val="Lia_Libellé"/>
    <w:basedOn w:val="Normal"/>
    <w:rPr>
      <w:b/>
    </w:rPr>
  </w:style>
  <w:style w:type="paragraph" w:customStyle="1" w:styleId="LiaDescription">
    <w:name w:val="Lia_Description"/>
    <w:basedOn w:val="Normal"/>
  </w:style>
  <w:style w:type="paragraph" w:customStyle="1" w:styleId="LiaUnit">
    <w:name w:val="Lia_Unité"/>
    <w:basedOn w:val="Normal"/>
    <w:rPr>
      <w:i/>
    </w:rPr>
  </w:style>
  <w:style w:type="paragraph" w:customStyle="1" w:styleId="DCENormal">
    <w:name w:val="DCE Normal"/>
    <w:basedOn w:val="Normal"/>
    <w:pPr>
      <w:jc w:val="both"/>
    </w:pPr>
    <w:rPr>
      <w:sz w:val="24"/>
    </w:rPr>
  </w:style>
  <w:style w:type="paragraph" w:customStyle="1" w:styleId="DCETableau">
    <w:name w:val="DCE Tableau"/>
    <w:basedOn w:val="Normal"/>
  </w:style>
  <w:style w:type="paragraph" w:customStyle="1" w:styleId="DCETitreTableau">
    <w:name w:val="DCE TitreTableau"/>
    <w:basedOn w:val="Normal"/>
    <w:pPr>
      <w:jc w:val="center"/>
    </w:pPr>
    <w:rPr>
      <w:b/>
    </w:rPr>
  </w:style>
  <w:style w:type="paragraph" w:customStyle="1" w:styleId="GnliaMarquedeparagraphe">
    <w:name w:val="Génélia : Marque de paragraphe"/>
    <w:basedOn w:val="Normal"/>
    <w:pPr>
      <w:keepNext/>
      <w:keepLines/>
      <w:tabs>
        <w:tab w:val="right" w:leader="dot" w:pos="10205"/>
      </w:tabs>
      <w:spacing w:before="40"/>
      <w:ind w:left="-1134"/>
      <w:jc w:val="both"/>
    </w:pPr>
    <w:rPr>
      <w:b/>
      <w:color w:val="008080"/>
    </w:rPr>
  </w:style>
  <w:style w:type="paragraph" w:customStyle="1" w:styleId="DGATitre1">
    <w:name w:val="DGA Titre1"/>
    <w:basedOn w:val="Titre1"/>
    <w:pPr>
      <w:tabs>
        <w:tab w:val="left" w:pos="360"/>
      </w:tabs>
      <w:overflowPunct w:val="0"/>
      <w:autoSpaceDE w:val="0"/>
      <w:ind w:left="360" w:hanging="360"/>
    </w:pPr>
    <w:rPr>
      <w:sz w:val="28"/>
    </w:rPr>
  </w:style>
  <w:style w:type="paragraph" w:customStyle="1" w:styleId="Redaliapuces">
    <w:name w:val="Redalia : puces"/>
    <w:basedOn w:val="RedaliaNormal"/>
    <w:pPr>
      <w:numPr>
        <w:numId w:val="6"/>
      </w:numPr>
    </w:pPr>
  </w:style>
  <w:style w:type="paragraph" w:customStyle="1" w:styleId="RedaliaContenudetableau">
    <w:name w:val="Redalia : Contenu de tableau"/>
    <w:basedOn w:val="RedaliaNormal"/>
    <w:rPr>
      <w:sz w:val="18"/>
      <w:szCs w:val="18"/>
    </w:rPr>
  </w:style>
  <w:style w:type="paragraph" w:customStyle="1" w:styleId="RedaliaPartievaloriser">
    <w:name w:val="Redalia : Partie à valoriser"/>
    <w:basedOn w:val="RedaliaNormal"/>
    <w:next w:val="RedaliaNormal"/>
    <w:pPr>
      <w:tabs>
        <w:tab w:val="left" w:leader="dot" w:pos="8820"/>
      </w:tabs>
      <w:spacing w:before="240" w:line="360" w:lineRule="auto"/>
    </w:pPr>
  </w:style>
  <w:style w:type="paragraph" w:customStyle="1" w:styleId="RedaliaRetraitavecpuce">
    <w:name w:val="Redalia : Retrait avec puce"/>
    <w:basedOn w:val="RedaliaNormal"/>
    <w:pPr>
      <w:numPr>
        <w:numId w:val="7"/>
      </w:numPr>
    </w:pPr>
  </w:style>
  <w:style w:type="paragraph" w:customStyle="1" w:styleId="RedaliaCentr">
    <w:name w:val="Redalia : Centré"/>
    <w:basedOn w:val="RedaliaNormal"/>
    <w:next w:val="RedaliaNormal"/>
    <w:pPr>
      <w:jc w:val="center"/>
    </w:pPr>
  </w:style>
  <w:style w:type="paragraph" w:customStyle="1" w:styleId="RedaliaRetrait2avecpuce">
    <w:name w:val="Redalia : Retrait 2 avec puce"/>
    <w:basedOn w:val="RedaliaRetraitavecpuce"/>
    <w:pPr>
      <w:tabs>
        <w:tab w:val="left" w:pos="1701"/>
      </w:tabs>
      <w:ind w:left="1701" w:hanging="567"/>
    </w:pPr>
  </w:style>
  <w:style w:type="paragraph" w:customStyle="1" w:styleId="RdaliaDrogations">
    <w:name w:val="Rédalia : Dérogations"/>
    <w:basedOn w:val="RedaliaNormal"/>
    <w:next w:val="RedaliaNormal"/>
    <w:rPr>
      <w:sz w:val="18"/>
      <w:szCs w:val="18"/>
    </w:rPr>
  </w:style>
  <w:style w:type="paragraph" w:customStyle="1" w:styleId="RdaliaCommentairesAE">
    <w:name w:val="Rédalia : Commentaires AE"/>
    <w:basedOn w:val="RedaliaNormal"/>
    <w:pPr>
      <w:overflowPunct w:val="0"/>
      <w:autoSpaceDE w:val="0"/>
    </w:pPr>
    <w:rPr>
      <w:rFonts w:ascii="Verdana" w:hAnsi="Verdana"/>
      <w:i/>
      <w:iCs/>
      <w:color w:val="808080"/>
      <w:sz w:val="14"/>
      <w:szCs w:val="14"/>
    </w:rPr>
  </w:style>
  <w:style w:type="paragraph" w:styleId="TM6">
    <w:name w:val="toc 6"/>
    <w:basedOn w:val="Normal"/>
    <w:next w:val="Normal"/>
    <w:autoRedefine/>
    <w:pPr>
      <w:ind w:left="960"/>
    </w:pPr>
  </w:style>
  <w:style w:type="paragraph" w:styleId="TM7">
    <w:name w:val="toc 7"/>
    <w:basedOn w:val="Normal"/>
    <w:next w:val="Normal"/>
    <w:autoRedefine/>
    <w:pPr>
      <w:ind w:left="1200"/>
    </w:pPr>
  </w:style>
  <w:style w:type="paragraph" w:styleId="TM8">
    <w:name w:val="toc 8"/>
    <w:basedOn w:val="Normal"/>
    <w:next w:val="Normal"/>
    <w:autoRedefine/>
    <w:pPr>
      <w:ind w:left="1440"/>
    </w:pPr>
  </w:style>
  <w:style w:type="paragraph" w:styleId="TM9">
    <w:name w:val="toc 9"/>
    <w:basedOn w:val="Normal"/>
    <w:next w:val="Normal"/>
    <w:autoRedefine/>
    <w:pPr>
      <w:ind w:left="1680"/>
    </w:pPr>
  </w:style>
  <w:style w:type="paragraph" w:styleId="En-tte">
    <w:name w:val="header"/>
    <w:basedOn w:val="Standard"/>
    <w:pPr>
      <w:suppressLineNumbers/>
      <w:tabs>
        <w:tab w:val="center" w:pos="4819"/>
        <w:tab w:val="right" w:pos="9638"/>
      </w:tabs>
    </w:pPr>
  </w:style>
  <w:style w:type="paragraph" w:styleId="Pieddepage">
    <w:name w:val="footer"/>
    <w:basedOn w:val="Standard"/>
    <w:pPr>
      <w:suppressLineNumbers/>
      <w:tabs>
        <w:tab w:val="center" w:pos="4819"/>
        <w:tab w:val="right" w:pos="9638"/>
      </w:tabs>
    </w:pPr>
  </w:style>
  <w:style w:type="paragraph" w:customStyle="1" w:styleId="RedaliaSoustitredocument">
    <w:name w:val="Redalia : Sous titre document"/>
    <w:basedOn w:val="RedaliaNormal"/>
    <w:next w:val="RedaliaNormal"/>
    <w:pPr>
      <w:jc w:val="center"/>
    </w:pPr>
    <w:rPr>
      <w:sz w:val="28"/>
    </w:rPr>
  </w:style>
  <w:style w:type="paragraph" w:customStyle="1" w:styleId="AvecPuce">
    <w:name w:val="Avec Puce"/>
    <w:basedOn w:val="Normal"/>
    <w:pPr>
      <w:numPr>
        <w:numId w:val="8"/>
      </w:numPr>
      <w:tabs>
        <w:tab w:val="left" w:pos="2880"/>
      </w:tabs>
      <w:spacing w:after="120"/>
    </w:pPr>
  </w:style>
  <w:style w:type="paragraph" w:customStyle="1" w:styleId="Chapitre">
    <w:name w:val="Chapitre"/>
    <w:basedOn w:val="Normal"/>
    <w:pPr>
      <w:numPr>
        <w:numId w:val="9"/>
      </w:numPr>
      <w:tabs>
        <w:tab w:val="left" w:pos="720"/>
      </w:tabs>
      <w:spacing w:before="240" w:after="240"/>
    </w:pPr>
    <w:rPr>
      <w:rFonts w:ascii="Arial Narrow" w:hAnsi="Arial Narrow" w:cs="Arial Narrow"/>
      <w:color w:val="003366"/>
      <w:sz w:val="36"/>
      <w:szCs w:val="36"/>
    </w:rPr>
  </w:style>
  <w:style w:type="paragraph" w:customStyle="1" w:styleId="Chapitre2">
    <w:name w:val="Chapitre 2"/>
    <w:basedOn w:val="Chapitre"/>
    <w:pPr>
      <w:pBdr>
        <w:top w:val="single" w:sz="12" w:space="1" w:color="003366"/>
        <w:left w:val="single" w:sz="12" w:space="4" w:color="003366"/>
        <w:bottom w:val="single" w:sz="12" w:space="1" w:color="003366"/>
        <w:right w:val="single" w:sz="12" w:space="4" w:color="003366"/>
      </w:pBdr>
      <w:shd w:val="clear" w:color="auto" w:fill="E0E0E0"/>
      <w:tabs>
        <w:tab w:val="clear" w:pos="720"/>
      </w:tabs>
      <w:spacing w:before="360" w:after="0"/>
      <w:ind w:left="567" w:firstLine="0"/>
    </w:pPr>
    <w:rPr>
      <w:rFonts w:ascii="Tahoma" w:hAnsi="Tahoma" w:cs="Tahoma"/>
      <w:b/>
      <w:bCs/>
      <w:sz w:val="24"/>
      <w:szCs w:val="24"/>
    </w:rPr>
  </w:style>
  <w:style w:type="paragraph" w:styleId="Commentaire">
    <w:name w:val="annotation text"/>
    <w:basedOn w:val="Normal"/>
  </w:style>
  <w:style w:type="paragraph" w:styleId="Corpsdetexte">
    <w:name w:val="Body Text"/>
    <w:basedOn w:val="Normal"/>
  </w:style>
  <w:style w:type="paragraph" w:styleId="Corpsdetexte2">
    <w:name w:val="Body Text 2"/>
    <w:basedOn w:val="Normal"/>
    <w:pPr>
      <w:jc w:val="center"/>
    </w:pPr>
    <w:rPr>
      <w:sz w:val="16"/>
      <w:szCs w:val="16"/>
    </w:rPr>
  </w:style>
  <w:style w:type="paragraph" w:styleId="Corpsdetexte3">
    <w:name w:val="Body Text 3"/>
    <w:basedOn w:val="Normal"/>
    <w:rPr>
      <w:i/>
      <w:iCs/>
    </w:rPr>
  </w:style>
  <w:style w:type="paragraph" w:customStyle="1" w:styleId="Elmentrecens">
    <w:name w:val="Elément recensé"/>
    <w:basedOn w:val="Normal"/>
    <w:pPr>
      <w:numPr>
        <w:numId w:val="10"/>
      </w:numPr>
      <w:tabs>
        <w:tab w:val="left" w:pos="644"/>
      </w:tabs>
    </w:pPr>
  </w:style>
  <w:style w:type="paragraph" w:styleId="NormalWeb">
    <w:name w:val="Normal (Web)"/>
    <w:basedOn w:val="Normal"/>
    <w:uiPriority w:val="99"/>
    <w:pPr>
      <w:spacing w:before="100" w:after="100"/>
    </w:pPr>
  </w:style>
  <w:style w:type="paragraph" w:styleId="Retraitcorpsdetexte">
    <w:name w:val="Body Text Indent"/>
    <w:basedOn w:val="Normal"/>
    <w:pPr>
      <w:ind w:left="540"/>
    </w:pPr>
  </w:style>
  <w:style w:type="paragraph" w:customStyle="1" w:styleId="StyleAvecPuceGras">
    <w:name w:val="Style Avec Puce + Gras"/>
    <w:basedOn w:val="AvecPuce"/>
    <w:rPr>
      <w:b/>
      <w:bCs/>
    </w:rPr>
  </w:style>
  <w:style w:type="paragraph" w:styleId="Textedebulles">
    <w:name w:val="Balloon Text"/>
    <w:basedOn w:val="Normal"/>
    <w:rPr>
      <w:rFonts w:ascii="Tahoma" w:hAnsi="Tahoma" w:cs="Tahoma"/>
      <w:sz w:val="16"/>
      <w:szCs w:val="16"/>
    </w:rPr>
  </w:style>
  <w:style w:type="paragraph" w:styleId="Titre">
    <w:name w:val="Title"/>
    <w:basedOn w:val="Normal"/>
    <w:next w:val="Normal"/>
    <w:uiPriority w:val="10"/>
    <w:qFormat/>
    <w:rPr>
      <w:spacing w:val="-10"/>
      <w:kern w:val="3"/>
      <w:sz w:val="56"/>
      <w:szCs w:val="56"/>
    </w:rPr>
  </w:style>
  <w:style w:type="paragraph" w:customStyle="1" w:styleId="xl24">
    <w:name w:val="xl24"/>
    <w:basedOn w:val="Normal"/>
    <w:pPr>
      <w:pBdr>
        <w:top w:val="single" w:sz="4" w:space="0" w:color="000000"/>
        <w:left w:val="single" w:sz="4" w:space="0" w:color="000000"/>
        <w:bottom w:val="single" w:sz="4" w:space="0" w:color="000000"/>
        <w:right w:val="single" w:sz="4" w:space="0" w:color="000000"/>
      </w:pBdr>
      <w:spacing w:before="100" w:after="100"/>
      <w:textAlignment w:val="top"/>
    </w:pPr>
    <w:rPr>
      <w:sz w:val="12"/>
      <w:szCs w:val="12"/>
    </w:rPr>
  </w:style>
  <w:style w:type="paragraph" w:customStyle="1" w:styleId="xl25">
    <w:name w:val="xl25"/>
    <w:basedOn w:val="Normal"/>
    <w:pPr>
      <w:spacing w:before="100" w:after="100"/>
    </w:pPr>
    <w:rPr>
      <w:sz w:val="12"/>
      <w:szCs w:val="12"/>
    </w:rPr>
  </w:style>
  <w:style w:type="paragraph" w:customStyle="1" w:styleId="xl26">
    <w:name w:val="xl26"/>
    <w:basedOn w:val="Normal"/>
    <w:pPr>
      <w:pBdr>
        <w:top w:val="single" w:sz="4" w:space="0" w:color="000000"/>
        <w:left w:val="single" w:sz="4" w:space="0" w:color="000000"/>
        <w:bottom w:val="single" w:sz="4" w:space="0" w:color="000000"/>
        <w:right w:val="single" w:sz="4" w:space="0" w:color="000000"/>
      </w:pBdr>
      <w:spacing w:before="100" w:after="100"/>
    </w:pPr>
    <w:rPr>
      <w:sz w:val="12"/>
      <w:szCs w:val="12"/>
    </w:rPr>
  </w:style>
  <w:style w:type="paragraph" w:customStyle="1" w:styleId="xl27">
    <w:name w:val="xl27"/>
    <w:basedOn w:val="Normal"/>
    <w:pPr>
      <w:pBdr>
        <w:top w:val="single" w:sz="4" w:space="0" w:color="000000"/>
        <w:left w:val="single" w:sz="4" w:space="0" w:color="000000"/>
        <w:bottom w:val="single" w:sz="4" w:space="0" w:color="000000"/>
        <w:right w:val="single" w:sz="4" w:space="0" w:color="000000"/>
      </w:pBdr>
      <w:spacing w:before="100" w:after="100"/>
      <w:textAlignment w:val="top"/>
    </w:pPr>
    <w:rPr>
      <w:b/>
      <w:bCs/>
      <w:sz w:val="12"/>
      <w:szCs w:val="12"/>
    </w:rPr>
  </w:style>
  <w:style w:type="paragraph" w:customStyle="1" w:styleId="xl28">
    <w:name w:val="xl28"/>
    <w:basedOn w:val="Normal"/>
    <w:pPr>
      <w:pBdr>
        <w:top w:val="single" w:sz="4" w:space="0" w:color="000000"/>
        <w:left w:val="single" w:sz="4" w:space="0" w:color="000000"/>
        <w:bottom w:val="single" w:sz="4" w:space="0" w:color="000000"/>
        <w:right w:val="single" w:sz="4" w:space="0" w:color="000000"/>
      </w:pBdr>
      <w:shd w:val="clear" w:color="auto" w:fill="00CCFF"/>
      <w:spacing w:before="100" w:after="100"/>
      <w:jc w:val="center"/>
    </w:pPr>
    <w:rPr>
      <w:sz w:val="12"/>
      <w:szCs w:val="12"/>
    </w:rPr>
  </w:style>
  <w:style w:type="paragraph" w:customStyle="1" w:styleId="xl29">
    <w:name w:val="xl29"/>
    <w:basedOn w:val="Normal"/>
    <w:pPr>
      <w:pBdr>
        <w:top w:val="single" w:sz="4" w:space="0" w:color="000000"/>
        <w:left w:val="single" w:sz="4" w:space="0" w:color="000000"/>
        <w:bottom w:val="single" w:sz="4" w:space="0" w:color="000000"/>
        <w:right w:val="single" w:sz="4" w:space="0" w:color="000000"/>
      </w:pBdr>
      <w:shd w:val="clear" w:color="auto" w:fill="00CCFF"/>
      <w:spacing w:before="100" w:after="100"/>
      <w:jc w:val="center"/>
      <w:textAlignment w:val="center"/>
    </w:pPr>
    <w:rPr>
      <w:sz w:val="12"/>
      <w:szCs w:val="12"/>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CCFFCC"/>
      <w:spacing w:before="100" w:after="100"/>
    </w:pPr>
    <w:rPr>
      <w:sz w:val="12"/>
      <w:szCs w:val="12"/>
    </w:rPr>
  </w:style>
  <w:style w:type="paragraph" w:customStyle="1" w:styleId="xl31">
    <w:name w:val="xl31"/>
    <w:basedOn w:val="Normal"/>
    <w:pPr>
      <w:pBdr>
        <w:top w:val="single" w:sz="4" w:space="0" w:color="000000"/>
        <w:left w:val="single" w:sz="4" w:space="0" w:color="000000"/>
        <w:bottom w:val="single" w:sz="4" w:space="0" w:color="000000"/>
        <w:right w:val="single" w:sz="4" w:space="0" w:color="000000"/>
      </w:pBdr>
      <w:spacing w:before="100" w:after="100"/>
    </w:pPr>
    <w:rPr>
      <w:sz w:val="12"/>
      <w:szCs w:val="12"/>
    </w:rPr>
  </w:style>
  <w:style w:type="paragraph" w:customStyle="1" w:styleId="xl32">
    <w:name w:val="xl32"/>
    <w:basedOn w:val="Normal"/>
    <w:pPr>
      <w:pBdr>
        <w:top w:val="single" w:sz="4" w:space="0" w:color="000000"/>
        <w:left w:val="single" w:sz="4" w:space="0" w:color="000000"/>
        <w:bottom w:val="single" w:sz="4" w:space="0" w:color="000000"/>
        <w:right w:val="single" w:sz="4" w:space="0" w:color="000000"/>
      </w:pBdr>
      <w:shd w:val="clear" w:color="auto" w:fill="CCFFFF"/>
      <w:spacing w:before="100" w:after="100"/>
    </w:pPr>
    <w:rPr>
      <w:sz w:val="12"/>
      <w:szCs w:val="12"/>
    </w:rPr>
  </w:style>
  <w:style w:type="paragraph" w:customStyle="1" w:styleId="xl33">
    <w:name w:val="xl33"/>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pPr>
    <w:rPr>
      <w:b/>
      <w:bCs/>
      <w:sz w:val="12"/>
      <w:szCs w:val="12"/>
    </w:rPr>
  </w:style>
  <w:style w:type="paragraph" w:customStyle="1" w:styleId="xl34">
    <w:name w:val="xl34"/>
    <w:basedOn w:val="Normal"/>
    <w:pPr>
      <w:spacing w:before="100" w:after="100"/>
      <w:textAlignment w:val="top"/>
    </w:pPr>
    <w:rPr>
      <w:sz w:val="12"/>
      <w:szCs w:val="12"/>
    </w:rPr>
  </w:style>
  <w:style w:type="paragraph" w:customStyle="1" w:styleId="xl35">
    <w:name w:val="xl35"/>
    <w:basedOn w:val="Normal"/>
    <w:pPr>
      <w:spacing w:before="100" w:after="100"/>
    </w:pPr>
    <w:rPr>
      <w:sz w:val="12"/>
      <w:szCs w:val="12"/>
    </w:rPr>
  </w:style>
  <w:style w:type="paragraph" w:customStyle="1" w:styleId="xl36">
    <w:name w:val="xl36"/>
    <w:basedOn w:val="Normal"/>
    <w:pPr>
      <w:shd w:val="clear" w:color="auto" w:fill="00CCFF"/>
      <w:spacing w:before="100" w:after="100"/>
      <w:jc w:val="center"/>
    </w:pPr>
    <w:rPr>
      <w:b/>
      <w:bCs/>
      <w:sz w:val="12"/>
      <w:szCs w:val="12"/>
    </w:rPr>
  </w:style>
  <w:style w:type="paragraph" w:customStyle="1" w:styleId="xl37">
    <w:name w:val="xl37"/>
    <w:basedOn w:val="Normal"/>
    <w:pPr>
      <w:shd w:val="clear" w:color="auto" w:fill="00CCFF"/>
      <w:spacing w:before="100" w:after="100"/>
      <w:jc w:val="center"/>
    </w:pPr>
    <w:rPr>
      <w:b/>
      <w:bCs/>
      <w:sz w:val="12"/>
      <w:szCs w:val="12"/>
    </w:rPr>
  </w:style>
  <w:style w:type="paragraph" w:customStyle="1" w:styleId="adresse">
    <w:name w:val="adresse"/>
    <w:basedOn w:val="Normal"/>
    <w:pPr>
      <w:overflowPunct w:val="0"/>
      <w:autoSpaceDE w:val="0"/>
    </w:pPr>
    <w:rPr>
      <w:color w:val="000000"/>
    </w:rPr>
  </w:style>
  <w:style w:type="paragraph" w:styleId="Date">
    <w:name w:val="Date"/>
    <w:basedOn w:val="Normal"/>
    <w:pPr>
      <w:overflowPunct w:val="0"/>
      <w:autoSpaceDE w:val="0"/>
      <w:spacing w:after="3940"/>
      <w:ind w:right="1701"/>
      <w:jc w:val="right"/>
    </w:pPr>
    <w:rPr>
      <w:color w:val="000000"/>
    </w:rPr>
  </w:style>
  <w:style w:type="paragraph" w:customStyle="1" w:styleId="Etat-icone">
    <w:name w:val="Etat - icone"/>
    <w:basedOn w:val="Normal"/>
    <w:rPr>
      <w:rFonts w:ascii="Webdings" w:hAnsi="Webdings" w:cs="Webdings"/>
    </w:rPr>
  </w:style>
  <w:style w:type="paragraph" w:customStyle="1" w:styleId="LIARetrait">
    <w:name w:val="LIA : Retrait"/>
    <w:basedOn w:val="LIANormal"/>
    <w:pPr>
      <w:ind w:firstLine="709"/>
    </w:pPr>
    <w:rPr>
      <w:sz w:val="20"/>
      <w:szCs w:val="20"/>
    </w:rPr>
  </w:style>
  <w:style w:type="paragraph" w:customStyle="1" w:styleId="LIATOTAL">
    <w:name w:val="LIA : TOTAL"/>
    <w:basedOn w:val="Normal"/>
    <w:pPr>
      <w:jc w:val="right"/>
    </w:pPr>
    <w:rPr>
      <w:b/>
      <w:bCs/>
    </w:rPr>
  </w:style>
  <w:style w:type="paragraph" w:customStyle="1" w:styleId="rfrence">
    <w:name w:val="référence"/>
    <w:basedOn w:val="Normal"/>
    <w:pPr>
      <w:overflowPunct w:val="0"/>
      <w:autoSpaceDE w:val="0"/>
    </w:pPr>
    <w:rPr>
      <w:color w:val="000000"/>
      <w:sz w:val="16"/>
      <w:szCs w:val="16"/>
    </w:rPr>
  </w:style>
  <w:style w:type="paragraph" w:customStyle="1" w:styleId="Tableau">
    <w:name w:val="Tableau"/>
    <w:basedOn w:val="Normal"/>
    <w:rPr>
      <w:sz w:val="16"/>
      <w:szCs w:val="16"/>
    </w:rPr>
  </w:style>
  <w:style w:type="paragraph" w:customStyle="1" w:styleId="texte">
    <w:name w:val="texte"/>
    <w:basedOn w:val="Normal"/>
    <w:pPr>
      <w:overflowPunct w:val="0"/>
      <w:autoSpaceDE w:val="0"/>
      <w:spacing w:before="120" w:after="120"/>
      <w:ind w:firstLine="680"/>
      <w:jc w:val="both"/>
    </w:pPr>
    <w:rPr>
      <w:color w:val="000000"/>
    </w:rPr>
  </w:style>
  <w:style w:type="paragraph" w:customStyle="1" w:styleId="Textepardfaut">
    <w:name w:val="Texte par défaut"/>
    <w:basedOn w:val="Normal"/>
    <w:pPr>
      <w:overflowPunct w:val="0"/>
      <w:autoSpaceDE w:val="0"/>
    </w:pPr>
    <w:rPr>
      <w:color w:val="000000"/>
    </w:rPr>
  </w:style>
  <w:style w:type="paragraph" w:customStyle="1" w:styleId="LIANomdecolonne">
    <w:name w:val="LIA : Nom de colonne"/>
    <w:basedOn w:val="LIANormal"/>
    <w:autoRedefine/>
    <w:pPr>
      <w:spacing w:before="120" w:after="120"/>
      <w:jc w:val="center"/>
    </w:pPr>
    <w:rPr>
      <w:rFonts w:cs="Verdana"/>
      <w:b/>
      <w:bCs/>
      <w:sz w:val="18"/>
      <w:szCs w:val="22"/>
    </w:rPr>
  </w:style>
  <w:style w:type="paragraph" w:customStyle="1" w:styleId="titre1c">
    <w:name w:val="titre 1c"/>
    <w:basedOn w:val="Normal"/>
    <w:next w:val="Normal"/>
    <w:pPr>
      <w:keepLines/>
      <w:spacing w:before="1920"/>
      <w:jc w:val="center"/>
    </w:pPr>
    <w:rPr>
      <w:rFonts w:ascii="Verdana" w:hAnsi="Verdana" w:cs="Verdana"/>
      <w:sz w:val="28"/>
      <w:szCs w:val="28"/>
    </w:rPr>
  </w:style>
  <w:style w:type="paragraph" w:customStyle="1" w:styleId="LIATITREPPAL">
    <w:name w:val="LIA : TITRE PPAL"/>
    <w:basedOn w:val="LIANormal"/>
    <w:autoRedefine/>
    <w:pPr>
      <w:jc w:val="center"/>
    </w:pPr>
    <w:rPr>
      <w:b/>
      <w:bCs/>
      <w:sz w:val="40"/>
      <w:szCs w:val="40"/>
    </w:rPr>
  </w:style>
  <w:style w:type="paragraph" w:customStyle="1" w:styleId="LIATitre0">
    <w:name w:val="LIA : Titre"/>
    <w:basedOn w:val="LIANormal"/>
    <w:next w:val="LIANormal"/>
    <w:autoRedefine/>
    <w:rPr>
      <w:b/>
      <w:sz w:val="24"/>
      <w:szCs w:val="24"/>
    </w:rPr>
  </w:style>
  <w:style w:type="paragraph" w:customStyle="1" w:styleId="LIAParagrapheA">
    <w:name w:val="LIA Paragraphe A"/>
    <w:basedOn w:val="Normal"/>
    <w:autoRedefine/>
    <w:pPr>
      <w:numPr>
        <w:numId w:val="12"/>
      </w:numPr>
      <w:tabs>
        <w:tab w:val="left" w:pos="-153"/>
      </w:tabs>
      <w:spacing w:before="120" w:after="120"/>
      <w:jc w:val="both"/>
    </w:pPr>
    <w:rPr>
      <w:rFonts w:cs="Calibri"/>
      <w:b/>
      <w:bCs/>
      <w:sz w:val="24"/>
      <w:szCs w:val="28"/>
    </w:rPr>
  </w:style>
  <w:style w:type="paragraph" w:customStyle="1" w:styleId="LIALgende">
    <w:name w:val="LIA : Légende"/>
    <w:basedOn w:val="LIANormal"/>
    <w:autoRedefine/>
    <w:rPr>
      <w:rFonts w:cs="Calibri"/>
      <w:i/>
      <w:iCs/>
      <w:sz w:val="16"/>
      <w:szCs w:val="16"/>
    </w:rPr>
  </w:style>
  <w:style w:type="paragraph" w:customStyle="1" w:styleId="LIASSTITRE">
    <w:name w:val="LIA : SS TITRE"/>
    <w:basedOn w:val="LIATITREPPAL"/>
    <w:autoRedefine/>
    <w:pPr>
      <w:jc w:val="right"/>
    </w:pPr>
    <w:rPr>
      <w:sz w:val="28"/>
      <w:szCs w:val="28"/>
      <w:u w:val="single"/>
    </w:rPr>
  </w:style>
  <w:style w:type="paragraph" w:customStyle="1" w:styleId="LIAParagraphe1">
    <w:name w:val="LIA Paragraphe 1"/>
    <w:basedOn w:val="Normal"/>
    <w:autoRedefine/>
    <w:pPr>
      <w:numPr>
        <w:numId w:val="11"/>
      </w:numPr>
      <w:tabs>
        <w:tab w:val="left" w:pos="207"/>
      </w:tabs>
      <w:spacing w:before="120" w:after="120"/>
      <w:jc w:val="both"/>
    </w:pPr>
    <w:rPr>
      <w:rFonts w:cs="Calibri"/>
      <w:b/>
      <w:bCs/>
      <w:sz w:val="24"/>
      <w:szCs w:val="28"/>
    </w:rPr>
  </w:style>
  <w:style w:type="paragraph" w:customStyle="1" w:styleId="redaliatitre20">
    <w:name w:val="redaliatitre2"/>
    <w:basedOn w:val="Normal"/>
    <w:pPr>
      <w:widowControl/>
      <w:spacing w:before="100" w:after="100"/>
    </w:pPr>
    <w:rPr>
      <w:rFonts w:ascii="Times New Roman" w:hAnsi="Times New Roman"/>
      <w:sz w:val="24"/>
      <w:szCs w:val="24"/>
    </w:rPr>
  </w:style>
  <w:style w:type="paragraph" w:customStyle="1" w:styleId="redalianormal0">
    <w:name w:val="redalianormal"/>
    <w:basedOn w:val="Normal"/>
    <w:pPr>
      <w:widowControl/>
      <w:spacing w:before="100" w:after="100"/>
    </w:pPr>
    <w:rPr>
      <w:rFonts w:ascii="Times New Roman" w:hAnsi="Times New Roman"/>
      <w:sz w:val="24"/>
      <w:szCs w:val="24"/>
    </w:rPr>
  </w:style>
  <w:style w:type="paragraph" w:customStyle="1" w:styleId="redaliapuces0">
    <w:name w:val="redaliapuces"/>
    <w:basedOn w:val="Normal"/>
    <w:pPr>
      <w:widowControl/>
      <w:spacing w:before="100" w:after="100"/>
    </w:pPr>
    <w:rPr>
      <w:rFonts w:ascii="Times New Roman" w:hAnsi="Times New Roman"/>
      <w:sz w:val="24"/>
      <w:szCs w:val="24"/>
    </w:rPr>
  </w:style>
  <w:style w:type="paragraph" w:customStyle="1" w:styleId="rdaliaretraitniveau10">
    <w:name w:val="rdaliaretraitniveau1"/>
    <w:basedOn w:val="Normal"/>
    <w:pPr>
      <w:widowControl/>
      <w:spacing w:before="100" w:after="100"/>
    </w:pPr>
    <w:rPr>
      <w:rFonts w:ascii="Times New Roman" w:hAnsi="Times New Roman"/>
      <w:sz w:val="24"/>
      <w:szCs w:val="24"/>
    </w:rPr>
  </w:style>
  <w:style w:type="paragraph" w:styleId="Sansinterligne">
    <w:name w:val="No Spacing"/>
    <w:pPr>
      <w:suppressAutoHyphens/>
    </w:pPr>
    <w:rPr>
      <w:rFonts w:ascii="Arial" w:hAnsi="Arial" w:cs="Arial"/>
      <w:sz w:val="22"/>
      <w:szCs w:val="22"/>
      <w:lang w:eastAsia="en-US"/>
    </w:rPr>
  </w:style>
  <w:style w:type="paragraph" w:styleId="Paragraphedeliste">
    <w:name w:val="List Paragraph"/>
    <w:basedOn w:val="Normal"/>
    <w:pPr>
      <w:ind w:left="720"/>
    </w:pPr>
    <w:rPr>
      <w:rFonts w:eastAsia="Calibri"/>
    </w:rPr>
  </w:style>
  <w:style w:type="paragraph" w:styleId="Sous-titre">
    <w:name w:val="Subtitle"/>
    <w:basedOn w:val="Normal"/>
    <w:next w:val="Normal"/>
    <w:uiPriority w:val="11"/>
    <w:qFormat/>
    <w:rPr>
      <w:color w:val="5A5A5A"/>
      <w:spacing w:val="15"/>
    </w:rPr>
  </w:style>
  <w:style w:type="paragraph" w:styleId="Citation">
    <w:name w:val="Quote"/>
    <w:basedOn w:val="Normal"/>
    <w:next w:val="Normal"/>
    <w:pPr>
      <w:spacing w:before="200"/>
      <w:ind w:left="864" w:right="864"/>
      <w:jc w:val="center"/>
    </w:pPr>
    <w:rPr>
      <w:i/>
      <w:iCs/>
      <w:color w:val="404040"/>
    </w:rPr>
  </w:style>
  <w:style w:type="paragraph" w:styleId="Citationintense">
    <w:name w:val="Intense Quote"/>
    <w:basedOn w:val="Normal"/>
    <w:next w:val="Normal"/>
    <w:pPr>
      <w:pBdr>
        <w:top w:val="single" w:sz="4" w:space="10" w:color="4472C4"/>
        <w:bottom w:val="single" w:sz="4" w:space="10" w:color="4472C4"/>
      </w:pBdr>
      <w:spacing w:before="360" w:after="360"/>
      <w:ind w:left="864" w:right="864"/>
      <w:jc w:val="center"/>
    </w:pPr>
    <w:rPr>
      <w:i/>
      <w:iCs/>
      <w:color w:val="4472C4"/>
    </w:rPr>
  </w:style>
  <w:style w:type="paragraph" w:customStyle="1" w:styleId="TableContents">
    <w:name w:val="Table Contents"/>
    <w:basedOn w:val="Standard"/>
    <w:pPr>
      <w:suppressLineNumbers/>
    </w:pPr>
  </w:style>
  <w:style w:type="paragraph" w:customStyle="1" w:styleId="Textbody">
    <w:name w:val="Text body"/>
    <w:basedOn w:val="Standard"/>
    <w:pPr>
      <w:spacing w:after="120"/>
    </w:pPr>
  </w:style>
  <w:style w:type="character" w:customStyle="1" w:styleId="Titre1Car">
    <w:name w:val="Titre 1 Car"/>
    <w:rPr>
      <w:rFonts w:ascii="Arial" w:hAnsi="Arial"/>
      <w:b/>
      <w:kern w:val="3"/>
      <w:sz w:val="32"/>
    </w:rPr>
  </w:style>
  <w:style w:type="character" w:customStyle="1" w:styleId="Titre2Car">
    <w:name w:val="Titre 2 Car"/>
    <w:rPr>
      <w:rFonts w:ascii="Arial" w:hAnsi="Arial"/>
      <w:sz w:val="28"/>
      <w:u w:val="single"/>
    </w:rPr>
  </w:style>
  <w:style w:type="character" w:customStyle="1" w:styleId="Titre3Car">
    <w:name w:val="Titre 3 Car"/>
    <w:basedOn w:val="Policepardfaut"/>
    <w:rPr>
      <w:rFonts w:ascii="Arial" w:hAnsi="Arial"/>
      <w:sz w:val="24"/>
      <w:u w:val="single"/>
    </w:rPr>
  </w:style>
  <w:style w:type="character" w:customStyle="1" w:styleId="Titre4Car">
    <w:name w:val="Titre 4 Car"/>
    <w:basedOn w:val="Policepardfaut"/>
    <w:rPr>
      <w:rFonts w:ascii="Arial" w:hAnsi="Arial"/>
      <w:i/>
      <w:sz w:val="24"/>
    </w:rPr>
  </w:style>
  <w:style w:type="character" w:customStyle="1" w:styleId="Titre5Car">
    <w:name w:val="Titre 5 Car"/>
    <w:basedOn w:val="Policepardfaut"/>
    <w:rPr>
      <w:rFonts w:ascii="Arial" w:hAnsi="Arial"/>
      <w:i/>
      <w:sz w:val="22"/>
    </w:rPr>
  </w:style>
  <w:style w:type="character" w:customStyle="1" w:styleId="Titre6Car">
    <w:name w:val="Titre 6 Car"/>
    <w:rPr>
      <w:rFonts w:ascii="Arial" w:hAnsi="Arial"/>
      <w:b/>
      <w:bCs/>
      <w:sz w:val="22"/>
    </w:rPr>
  </w:style>
  <w:style w:type="character" w:customStyle="1" w:styleId="Titre7Car">
    <w:name w:val="Titre 7 Car"/>
    <w:basedOn w:val="Policepardfaut"/>
    <w:rPr>
      <w:rFonts w:ascii="Calibri Light" w:hAnsi="Calibri Light" w:cs="Times New Roman"/>
      <w:i/>
      <w:color w:val="404040"/>
      <w:sz w:val="22"/>
      <w:lang w:eastAsia="en-US"/>
    </w:rPr>
  </w:style>
  <w:style w:type="character" w:customStyle="1" w:styleId="Titre8Car">
    <w:name w:val="Titre 8 Car"/>
    <w:basedOn w:val="Policepardfaut"/>
    <w:rPr>
      <w:rFonts w:ascii="Calibri Light" w:hAnsi="Calibri Light" w:cs="Times New Roman"/>
      <w:color w:val="404040"/>
      <w:lang w:eastAsia="en-US"/>
    </w:rPr>
  </w:style>
  <w:style w:type="character" w:customStyle="1" w:styleId="Titre9Car">
    <w:name w:val="Titre 9 Car"/>
    <w:basedOn w:val="Policepardfaut"/>
    <w:rPr>
      <w:rFonts w:ascii="Calibri Light" w:hAnsi="Calibri Light" w:cs="Times New Roman"/>
      <w:i/>
      <w:color w:val="404040"/>
      <w:lang w:eastAsia="en-US"/>
    </w:rPr>
  </w:style>
  <w:style w:type="character" w:styleId="Lienhypertexte">
    <w:name w:val="Hyperlink"/>
    <w:basedOn w:val="Policepardfaut"/>
    <w:rPr>
      <w:rFonts w:cs="Times New Roman"/>
      <w:color w:val="003366"/>
      <w:u w:val="none"/>
    </w:rPr>
  </w:style>
  <w:style w:type="character" w:customStyle="1" w:styleId="En-tteCar">
    <w:name w:val="En-tête Car"/>
    <w:rPr>
      <w:rFonts w:ascii="Arial" w:hAnsi="Arial"/>
      <w:sz w:val="22"/>
    </w:rPr>
  </w:style>
  <w:style w:type="character" w:customStyle="1" w:styleId="PieddepageCar">
    <w:name w:val="Pied de page Car"/>
    <w:rPr>
      <w:rFonts w:ascii="Arial" w:hAnsi="Arial"/>
      <w:sz w:val="22"/>
    </w:rPr>
  </w:style>
  <w:style w:type="character" w:customStyle="1" w:styleId="AvecPuceCar">
    <w:name w:val="Avec Puce Car"/>
    <w:rPr>
      <w:sz w:val="24"/>
      <w:lang w:val="fr-FR" w:eastAsia="fr-FR"/>
    </w:rPr>
  </w:style>
  <w:style w:type="character" w:customStyle="1" w:styleId="CommentaireCar">
    <w:name w:val="Commentaire Car"/>
    <w:basedOn w:val="Policepardfaut"/>
    <w:rPr>
      <w:rFonts w:cs="Times New Roman"/>
      <w:sz w:val="20"/>
    </w:rPr>
  </w:style>
  <w:style w:type="character" w:customStyle="1" w:styleId="CorpsdetexteCar">
    <w:name w:val="Corps de texte Car"/>
    <w:basedOn w:val="Policepardfaut"/>
    <w:rPr>
      <w:rFonts w:cs="Times New Roman"/>
      <w:sz w:val="20"/>
    </w:rPr>
  </w:style>
  <w:style w:type="character" w:customStyle="1" w:styleId="Corpsdetexte2Car">
    <w:name w:val="Corps de texte 2 Car"/>
    <w:basedOn w:val="Policepardfaut"/>
    <w:rPr>
      <w:rFonts w:cs="Times New Roman"/>
      <w:sz w:val="20"/>
    </w:rPr>
  </w:style>
  <w:style w:type="character" w:customStyle="1" w:styleId="Corpsdetexte3Car">
    <w:name w:val="Corps de texte 3 Car"/>
    <w:basedOn w:val="Policepardfaut"/>
    <w:rPr>
      <w:rFonts w:cs="Times New Roman"/>
      <w:sz w:val="16"/>
    </w:rPr>
  </w:style>
  <w:style w:type="character" w:styleId="Lienhypertextesuivivisit">
    <w:name w:val="FollowedHyperlink"/>
    <w:basedOn w:val="Policepardfaut"/>
    <w:rPr>
      <w:rFonts w:cs="Times New Roman"/>
      <w:color w:val="800080"/>
      <w:u w:val="single"/>
    </w:rPr>
  </w:style>
  <w:style w:type="character" w:styleId="Marquedecommentaire">
    <w:name w:val="annotation reference"/>
    <w:basedOn w:val="Policepardfaut"/>
    <w:rPr>
      <w:rFonts w:cs="Times New Roman"/>
      <w:sz w:val="16"/>
    </w:rPr>
  </w:style>
  <w:style w:type="character" w:styleId="Numrodepage">
    <w:name w:val="page number"/>
    <w:rPr>
      <w:rFonts w:ascii="Times New Roman" w:hAnsi="Times New Roman" w:cs="Times New Roman"/>
    </w:rPr>
  </w:style>
  <w:style w:type="character" w:customStyle="1" w:styleId="RetraitcorpsdetexteCar">
    <w:name w:val="Retrait corps de texte Car"/>
    <w:basedOn w:val="Policepardfaut"/>
    <w:rPr>
      <w:rFonts w:cs="Times New Roman"/>
      <w:sz w:val="20"/>
    </w:rPr>
  </w:style>
  <w:style w:type="character" w:customStyle="1" w:styleId="StyleAvecPuceGrasCar">
    <w:name w:val="Style Avec Puce + Gras Car"/>
    <w:rPr>
      <w:b/>
      <w:sz w:val="24"/>
      <w:lang w:val="fr-FR" w:eastAsia="fr-FR"/>
    </w:rPr>
  </w:style>
  <w:style w:type="character" w:customStyle="1" w:styleId="TextedebullesCar">
    <w:name w:val="Texte de bulles Car"/>
    <w:basedOn w:val="Policepardfaut"/>
    <w:rPr>
      <w:rFonts w:ascii="Tahoma" w:hAnsi="Tahoma" w:cs="Times New Roman"/>
      <w:sz w:val="16"/>
    </w:rPr>
  </w:style>
  <w:style w:type="character" w:customStyle="1" w:styleId="TitreCar">
    <w:name w:val="Titre Car"/>
    <w:rPr>
      <w:rFonts w:ascii="Arial" w:hAnsi="Arial"/>
      <w:spacing w:val="-10"/>
      <w:kern w:val="3"/>
      <w:sz w:val="56"/>
      <w:szCs w:val="56"/>
      <w:lang w:eastAsia="en-US"/>
    </w:rPr>
  </w:style>
  <w:style w:type="character" w:customStyle="1" w:styleId="DateCar">
    <w:name w:val="Date Car"/>
    <w:basedOn w:val="Policepardfaut"/>
    <w:rPr>
      <w:rFonts w:ascii="Arial" w:hAnsi="Arial" w:cs="Times New Roman"/>
      <w:sz w:val="22"/>
    </w:rPr>
  </w:style>
  <w:style w:type="character" w:customStyle="1" w:styleId="IconeWeb">
    <w:name w:val="IconeWeb"/>
    <w:rPr>
      <w:rFonts w:ascii="Webdings" w:hAnsi="Webdings" w:cs="Webdings"/>
    </w:rPr>
  </w:style>
  <w:style w:type="character" w:customStyle="1" w:styleId="EmailStyle175">
    <w:name w:val="EmailStyle175"/>
    <w:rPr>
      <w:rFonts w:ascii="Century Gothic" w:hAnsi="Century Gothic"/>
      <w:color w:val="auto"/>
      <w:sz w:val="20"/>
    </w:rPr>
  </w:style>
  <w:style w:type="character" w:customStyle="1" w:styleId="EmailStyle176">
    <w:name w:val="EmailStyle176"/>
    <w:rPr>
      <w:rFonts w:ascii="Arial" w:hAnsi="Arial"/>
      <w:color w:val="auto"/>
      <w:sz w:val="16"/>
    </w:rPr>
  </w:style>
  <w:style w:type="character" w:customStyle="1" w:styleId="EmailStyle177">
    <w:name w:val="EmailStyle177"/>
    <w:rPr>
      <w:rFonts w:ascii="Century Gothic" w:hAnsi="Century Gothic"/>
      <w:color w:val="auto"/>
      <w:sz w:val="20"/>
    </w:rPr>
  </w:style>
  <w:style w:type="character" w:customStyle="1" w:styleId="EmailStyle178">
    <w:name w:val="EmailStyle178"/>
    <w:rPr>
      <w:rFonts w:ascii="Arial" w:hAnsi="Arial"/>
      <w:color w:val="auto"/>
      <w:sz w:val="16"/>
    </w:rPr>
  </w:style>
  <w:style w:type="character" w:customStyle="1" w:styleId="EmailStyle179">
    <w:name w:val="EmailStyle179"/>
    <w:rPr>
      <w:rFonts w:ascii="Century Gothic" w:hAnsi="Century Gothic"/>
      <w:color w:val="auto"/>
      <w:sz w:val="20"/>
    </w:rPr>
  </w:style>
  <w:style w:type="character" w:customStyle="1" w:styleId="EmailStyle180">
    <w:name w:val="EmailStyle180"/>
    <w:rPr>
      <w:rFonts w:ascii="Arial" w:hAnsi="Arial"/>
      <w:color w:val="auto"/>
      <w:sz w:val="16"/>
    </w:rPr>
  </w:style>
  <w:style w:type="character" w:customStyle="1" w:styleId="EmailStyle181">
    <w:name w:val="EmailStyle181"/>
    <w:rPr>
      <w:rFonts w:ascii="Century Gothic" w:hAnsi="Century Gothic"/>
      <w:color w:val="auto"/>
      <w:sz w:val="20"/>
    </w:rPr>
  </w:style>
  <w:style w:type="character" w:customStyle="1" w:styleId="EmailStyle182">
    <w:name w:val="EmailStyle182"/>
    <w:rPr>
      <w:rFonts w:ascii="Arial" w:hAnsi="Arial"/>
      <w:color w:val="auto"/>
      <w:sz w:val="16"/>
    </w:rPr>
  </w:style>
  <w:style w:type="character" w:customStyle="1" w:styleId="EmailStyle183">
    <w:name w:val="EmailStyle183"/>
    <w:rPr>
      <w:rFonts w:ascii="Century Gothic" w:hAnsi="Century Gothic"/>
      <w:color w:val="auto"/>
      <w:sz w:val="20"/>
    </w:rPr>
  </w:style>
  <w:style w:type="character" w:customStyle="1" w:styleId="EmailStyle184">
    <w:name w:val="EmailStyle184"/>
    <w:rPr>
      <w:rFonts w:ascii="Arial" w:hAnsi="Arial"/>
      <w:color w:val="auto"/>
      <w:sz w:val="16"/>
    </w:rPr>
  </w:style>
  <w:style w:type="character" w:customStyle="1" w:styleId="EmailStyle185">
    <w:name w:val="EmailStyle185"/>
    <w:rPr>
      <w:rFonts w:ascii="Century Gothic" w:hAnsi="Century Gothic"/>
      <w:color w:val="auto"/>
      <w:sz w:val="20"/>
    </w:rPr>
  </w:style>
  <w:style w:type="character" w:customStyle="1" w:styleId="EmailStyle186">
    <w:name w:val="EmailStyle186"/>
    <w:rPr>
      <w:rFonts w:ascii="Arial" w:hAnsi="Arial"/>
      <w:color w:val="auto"/>
      <w:sz w:val="16"/>
    </w:rPr>
  </w:style>
  <w:style w:type="character" w:customStyle="1" w:styleId="EmailStyle187">
    <w:name w:val="EmailStyle187"/>
    <w:rPr>
      <w:rFonts w:ascii="Century Gothic" w:hAnsi="Century Gothic"/>
      <w:color w:val="auto"/>
      <w:sz w:val="20"/>
    </w:rPr>
  </w:style>
  <w:style w:type="character" w:customStyle="1" w:styleId="EmailStyle188">
    <w:name w:val="EmailStyle188"/>
    <w:rPr>
      <w:rFonts w:ascii="Arial" w:hAnsi="Arial"/>
      <w:color w:val="auto"/>
      <w:sz w:val="16"/>
    </w:rPr>
  </w:style>
  <w:style w:type="character" w:customStyle="1" w:styleId="EmailStyle189">
    <w:name w:val="EmailStyle189"/>
    <w:rPr>
      <w:rFonts w:ascii="Century Gothic" w:hAnsi="Century Gothic"/>
      <w:color w:val="auto"/>
      <w:sz w:val="20"/>
    </w:rPr>
  </w:style>
  <w:style w:type="character" w:customStyle="1" w:styleId="EmailStyle190">
    <w:name w:val="EmailStyle190"/>
    <w:rPr>
      <w:rFonts w:ascii="Arial" w:hAnsi="Arial"/>
      <w:color w:val="auto"/>
      <w:sz w:val="16"/>
    </w:rPr>
  </w:style>
  <w:style w:type="character" w:customStyle="1" w:styleId="EmailStyle191">
    <w:name w:val="EmailStyle191"/>
    <w:rPr>
      <w:rFonts w:ascii="Century Gothic" w:hAnsi="Century Gothic"/>
      <w:color w:val="auto"/>
      <w:sz w:val="20"/>
    </w:rPr>
  </w:style>
  <w:style w:type="character" w:customStyle="1" w:styleId="EmailStyle192">
    <w:name w:val="EmailStyle192"/>
    <w:rPr>
      <w:rFonts w:ascii="Arial" w:hAnsi="Arial"/>
      <w:color w:val="auto"/>
      <w:sz w:val="16"/>
    </w:rPr>
  </w:style>
  <w:style w:type="character" w:customStyle="1" w:styleId="EmailStyle193">
    <w:name w:val="EmailStyle193"/>
    <w:rPr>
      <w:rFonts w:ascii="Century Gothic" w:hAnsi="Century Gothic"/>
      <w:color w:val="auto"/>
      <w:sz w:val="20"/>
    </w:rPr>
  </w:style>
  <w:style w:type="character" w:customStyle="1" w:styleId="EmailStyle194">
    <w:name w:val="EmailStyle194"/>
    <w:rPr>
      <w:rFonts w:ascii="Arial" w:hAnsi="Arial"/>
      <w:color w:val="auto"/>
      <w:sz w:val="16"/>
    </w:rPr>
  </w:style>
  <w:style w:type="character" w:customStyle="1" w:styleId="EmailStyle195">
    <w:name w:val="EmailStyle195"/>
    <w:rPr>
      <w:rFonts w:ascii="Century Gothic" w:hAnsi="Century Gothic"/>
      <w:color w:val="auto"/>
      <w:sz w:val="20"/>
    </w:rPr>
  </w:style>
  <w:style w:type="character" w:customStyle="1" w:styleId="EmailStyle196">
    <w:name w:val="EmailStyle196"/>
    <w:rPr>
      <w:rFonts w:ascii="Arial" w:hAnsi="Arial"/>
      <w:color w:val="auto"/>
      <w:sz w:val="16"/>
    </w:rPr>
  </w:style>
  <w:style w:type="character" w:customStyle="1" w:styleId="EmailStyle197">
    <w:name w:val="EmailStyle197"/>
    <w:rPr>
      <w:rFonts w:ascii="Century Gothic" w:hAnsi="Century Gothic"/>
      <w:color w:val="auto"/>
      <w:sz w:val="20"/>
    </w:rPr>
  </w:style>
  <w:style w:type="character" w:customStyle="1" w:styleId="EmailStyle198">
    <w:name w:val="EmailStyle198"/>
    <w:rPr>
      <w:rFonts w:ascii="Arial" w:hAnsi="Arial"/>
      <w:color w:val="auto"/>
      <w:sz w:val="16"/>
    </w:rPr>
  </w:style>
  <w:style w:type="character" w:customStyle="1" w:styleId="EmailStyle199">
    <w:name w:val="EmailStyle199"/>
    <w:rPr>
      <w:rFonts w:ascii="Century Gothic" w:hAnsi="Century Gothic"/>
      <w:color w:val="auto"/>
      <w:sz w:val="20"/>
    </w:rPr>
  </w:style>
  <w:style w:type="character" w:customStyle="1" w:styleId="EmailStyle200">
    <w:name w:val="EmailStyle200"/>
    <w:rPr>
      <w:rFonts w:ascii="Arial" w:hAnsi="Arial"/>
      <w:color w:val="auto"/>
      <w:sz w:val="16"/>
    </w:rPr>
  </w:style>
  <w:style w:type="character" w:customStyle="1" w:styleId="EmailStyle201">
    <w:name w:val="EmailStyle201"/>
    <w:rPr>
      <w:rFonts w:ascii="Century Gothic" w:hAnsi="Century Gothic"/>
      <w:color w:val="auto"/>
      <w:sz w:val="20"/>
    </w:rPr>
  </w:style>
  <w:style w:type="character" w:customStyle="1" w:styleId="EmailStyle202">
    <w:name w:val="EmailStyle202"/>
    <w:rPr>
      <w:rFonts w:ascii="Arial" w:hAnsi="Arial"/>
      <w:color w:val="auto"/>
      <w:sz w:val="16"/>
    </w:rPr>
  </w:style>
  <w:style w:type="character" w:customStyle="1" w:styleId="EmailStyle203">
    <w:name w:val="EmailStyle203"/>
    <w:rPr>
      <w:rFonts w:ascii="Century Gothic" w:hAnsi="Century Gothic"/>
      <w:color w:val="auto"/>
      <w:sz w:val="20"/>
    </w:rPr>
  </w:style>
  <w:style w:type="character" w:customStyle="1" w:styleId="EmailStyle204">
    <w:name w:val="EmailStyle204"/>
    <w:rPr>
      <w:rFonts w:ascii="Arial" w:hAnsi="Arial"/>
      <w:color w:val="auto"/>
      <w:sz w:val="16"/>
    </w:rPr>
  </w:style>
  <w:style w:type="character" w:customStyle="1" w:styleId="EmailStyle205">
    <w:name w:val="EmailStyle205"/>
    <w:rPr>
      <w:rFonts w:ascii="Century Gothic" w:hAnsi="Century Gothic"/>
      <w:color w:val="auto"/>
      <w:sz w:val="20"/>
    </w:rPr>
  </w:style>
  <w:style w:type="character" w:customStyle="1" w:styleId="EmailStyle206">
    <w:name w:val="EmailStyle206"/>
    <w:rPr>
      <w:rFonts w:ascii="Arial" w:hAnsi="Arial"/>
      <w:color w:val="auto"/>
      <w:sz w:val="16"/>
    </w:rPr>
  </w:style>
  <w:style w:type="character" w:customStyle="1" w:styleId="EmailStyle207">
    <w:name w:val="EmailStyle207"/>
    <w:rPr>
      <w:rFonts w:ascii="Century Gothic" w:hAnsi="Century Gothic"/>
      <w:color w:val="auto"/>
      <w:sz w:val="20"/>
    </w:rPr>
  </w:style>
  <w:style w:type="character" w:customStyle="1" w:styleId="EmailStyle208">
    <w:name w:val="EmailStyle208"/>
    <w:rPr>
      <w:rFonts w:ascii="Arial" w:hAnsi="Arial"/>
      <w:color w:val="auto"/>
      <w:sz w:val="16"/>
    </w:rPr>
  </w:style>
  <w:style w:type="character" w:customStyle="1" w:styleId="EmailStyle209">
    <w:name w:val="EmailStyle209"/>
    <w:rPr>
      <w:rFonts w:ascii="Century Gothic" w:hAnsi="Century Gothic"/>
      <w:color w:val="auto"/>
      <w:sz w:val="20"/>
    </w:rPr>
  </w:style>
  <w:style w:type="character" w:customStyle="1" w:styleId="EmailStyle210">
    <w:name w:val="EmailStyle210"/>
    <w:rPr>
      <w:rFonts w:ascii="Arial" w:hAnsi="Arial"/>
      <w:color w:val="auto"/>
      <w:sz w:val="16"/>
    </w:rPr>
  </w:style>
  <w:style w:type="character" w:customStyle="1" w:styleId="EmailStyle211">
    <w:name w:val="EmailStyle211"/>
    <w:rPr>
      <w:rFonts w:ascii="Century Gothic" w:hAnsi="Century Gothic"/>
      <w:color w:val="auto"/>
      <w:sz w:val="20"/>
    </w:rPr>
  </w:style>
  <w:style w:type="character" w:customStyle="1" w:styleId="EmailStyle212">
    <w:name w:val="EmailStyle212"/>
    <w:rPr>
      <w:rFonts w:ascii="Arial" w:hAnsi="Arial"/>
      <w:color w:val="auto"/>
      <w:sz w:val="16"/>
    </w:rPr>
  </w:style>
  <w:style w:type="character" w:customStyle="1" w:styleId="EmailStyle213">
    <w:name w:val="EmailStyle213"/>
    <w:rPr>
      <w:rFonts w:ascii="Century Gothic" w:hAnsi="Century Gothic"/>
      <w:color w:val="auto"/>
      <w:sz w:val="20"/>
    </w:rPr>
  </w:style>
  <w:style w:type="character" w:customStyle="1" w:styleId="EmailStyle214">
    <w:name w:val="EmailStyle214"/>
    <w:rPr>
      <w:rFonts w:ascii="Arial" w:hAnsi="Arial"/>
      <w:color w:val="auto"/>
      <w:sz w:val="16"/>
    </w:rPr>
  </w:style>
  <w:style w:type="character" w:customStyle="1" w:styleId="EmailStyle215">
    <w:name w:val="EmailStyle215"/>
    <w:rPr>
      <w:rFonts w:ascii="Century Gothic" w:hAnsi="Century Gothic"/>
      <w:color w:val="auto"/>
      <w:sz w:val="20"/>
    </w:rPr>
  </w:style>
  <w:style w:type="character" w:customStyle="1" w:styleId="EmailStyle216">
    <w:name w:val="EmailStyle216"/>
    <w:rPr>
      <w:rFonts w:ascii="Arial" w:hAnsi="Arial"/>
      <w:color w:val="auto"/>
      <w:sz w:val="16"/>
    </w:rPr>
  </w:style>
  <w:style w:type="character" w:customStyle="1" w:styleId="EmailStyle217">
    <w:name w:val="EmailStyle217"/>
    <w:rPr>
      <w:rFonts w:ascii="Century Gothic" w:hAnsi="Century Gothic"/>
      <w:color w:val="auto"/>
      <w:sz w:val="20"/>
    </w:rPr>
  </w:style>
  <w:style w:type="character" w:customStyle="1" w:styleId="EmailStyle218">
    <w:name w:val="EmailStyle218"/>
    <w:rPr>
      <w:rFonts w:ascii="Arial" w:hAnsi="Arial"/>
      <w:color w:val="auto"/>
      <w:sz w:val="16"/>
    </w:rPr>
  </w:style>
  <w:style w:type="character" w:customStyle="1" w:styleId="EmailStyle781">
    <w:name w:val="EmailStyle781"/>
    <w:rPr>
      <w:rFonts w:ascii="Century Gothic" w:hAnsi="Century Gothic" w:cs="Century Gothic"/>
      <w:color w:val="auto"/>
      <w:sz w:val="20"/>
      <w:szCs w:val="20"/>
    </w:rPr>
  </w:style>
  <w:style w:type="character" w:customStyle="1" w:styleId="EmailStyle791">
    <w:name w:val="EmailStyle791"/>
    <w:rPr>
      <w:rFonts w:ascii="Arial" w:hAnsi="Arial" w:cs="Arial"/>
      <w:color w:val="auto"/>
      <w:sz w:val="16"/>
      <w:szCs w:val="16"/>
    </w:rPr>
  </w:style>
  <w:style w:type="character" w:customStyle="1" w:styleId="EmailStyle110">
    <w:name w:val="EmailStyle110"/>
    <w:rPr>
      <w:rFonts w:ascii="Century Gothic" w:hAnsi="Century Gothic" w:cs="Century Gothic"/>
      <w:color w:val="auto"/>
      <w:sz w:val="20"/>
      <w:szCs w:val="20"/>
    </w:rPr>
  </w:style>
  <w:style w:type="character" w:customStyle="1" w:styleId="EmailStyle111">
    <w:name w:val="EmailStyle111"/>
    <w:rPr>
      <w:rFonts w:ascii="Arial" w:hAnsi="Arial" w:cs="Arial"/>
      <w:color w:val="auto"/>
      <w:sz w:val="16"/>
      <w:szCs w:val="16"/>
    </w:rPr>
  </w:style>
  <w:style w:type="character" w:customStyle="1" w:styleId="EmailStyle1271">
    <w:name w:val="EmailStyle1271"/>
    <w:rPr>
      <w:rFonts w:ascii="Century Gothic" w:hAnsi="Century Gothic" w:cs="Century Gothic"/>
      <w:color w:val="auto"/>
      <w:sz w:val="20"/>
      <w:szCs w:val="20"/>
    </w:rPr>
  </w:style>
  <w:style w:type="character" w:customStyle="1" w:styleId="EmailStyle1281">
    <w:name w:val="EmailStyle1281"/>
    <w:rPr>
      <w:rFonts w:ascii="Arial" w:hAnsi="Arial" w:cs="Arial"/>
      <w:color w:val="auto"/>
      <w:sz w:val="16"/>
      <w:szCs w:val="16"/>
    </w:rPr>
  </w:style>
  <w:style w:type="character" w:customStyle="1" w:styleId="EmailStyle129">
    <w:name w:val="EmailStyle129"/>
    <w:rPr>
      <w:rFonts w:ascii="Century Gothic" w:hAnsi="Century Gothic" w:cs="Century Gothic"/>
      <w:color w:val="auto"/>
      <w:sz w:val="20"/>
      <w:szCs w:val="20"/>
    </w:rPr>
  </w:style>
  <w:style w:type="character" w:customStyle="1" w:styleId="EmailStyle130">
    <w:name w:val="EmailStyle130"/>
    <w:rPr>
      <w:rFonts w:ascii="Arial" w:hAnsi="Arial" w:cs="Arial"/>
      <w:color w:val="auto"/>
      <w:sz w:val="16"/>
      <w:szCs w:val="16"/>
    </w:rPr>
  </w:style>
  <w:style w:type="character" w:customStyle="1" w:styleId="EmailStyle1311">
    <w:name w:val="EmailStyle1311"/>
    <w:rPr>
      <w:rFonts w:ascii="Century Gothic" w:hAnsi="Century Gothic" w:cs="Century Gothic"/>
      <w:color w:val="auto"/>
      <w:sz w:val="20"/>
      <w:szCs w:val="20"/>
    </w:rPr>
  </w:style>
  <w:style w:type="character" w:customStyle="1" w:styleId="EmailStyle1321">
    <w:name w:val="EmailStyle1321"/>
    <w:rPr>
      <w:rFonts w:ascii="Arial" w:hAnsi="Arial" w:cs="Arial"/>
      <w:color w:val="auto"/>
      <w:sz w:val="16"/>
      <w:szCs w:val="16"/>
    </w:rPr>
  </w:style>
  <w:style w:type="character" w:customStyle="1" w:styleId="EmailStyle133">
    <w:name w:val="EmailStyle133"/>
    <w:rPr>
      <w:rFonts w:ascii="Century Gothic" w:hAnsi="Century Gothic" w:cs="Century Gothic"/>
      <w:color w:val="auto"/>
      <w:sz w:val="20"/>
      <w:szCs w:val="20"/>
    </w:rPr>
  </w:style>
  <w:style w:type="character" w:customStyle="1" w:styleId="EmailStyle134">
    <w:name w:val="EmailStyle134"/>
    <w:rPr>
      <w:rFonts w:ascii="Arial" w:hAnsi="Arial" w:cs="Arial"/>
      <w:color w:val="auto"/>
      <w:sz w:val="16"/>
      <w:szCs w:val="16"/>
    </w:rPr>
  </w:style>
  <w:style w:type="character" w:customStyle="1" w:styleId="EmailStyle1351">
    <w:name w:val="EmailStyle1351"/>
    <w:rPr>
      <w:rFonts w:ascii="Century Gothic" w:hAnsi="Century Gothic" w:cs="Century Gothic"/>
      <w:color w:val="auto"/>
      <w:sz w:val="20"/>
      <w:szCs w:val="20"/>
    </w:rPr>
  </w:style>
  <w:style w:type="character" w:customStyle="1" w:styleId="EmailStyle1361">
    <w:name w:val="EmailStyle1361"/>
    <w:rPr>
      <w:rFonts w:ascii="Arial" w:hAnsi="Arial" w:cs="Arial"/>
      <w:color w:val="auto"/>
      <w:sz w:val="16"/>
      <w:szCs w:val="16"/>
    </w:rPr>
  </w:style>
  <w:style w:type="character" w:customStyle="1" w:styleId="EmailStyle137">
    <w:name w:val="EmailStyle137"/>
    <w:rPr>
      <w:rFonts w:ascii="Century Gothic" w:hAnsi="Century Gothic" w:cs="Century Gothic"/>
      <w:color w:val="auto"/>
      <w:sz w:val="20"/>
      <w:szCs w:val="20"/>
    </w:rPr>
  </w:style>
  <w:style w:type="character" w:customStyle="1" w:styleId="EmailStyle138">
    <w:name w:val="EmailStyle138"/>
    <w:rPr>
      <w:rFonts w:ascii="Arial" w:hAnsi="Arial" w:cs="Arial"/>
      <w:color w:val="auto"/>
      <w:sz w:val="16"/>
      <w:szCs w:val="16"/>
    </w:rPr>
  </w:style>
  <w:style w:type="character" w:customStyle="1" w:styleId="EmailStyle1391">
    <w:name w:val="EmailStyle1391"/>
    <w:rPr>
      <w:rFonts w:ascii="Century Gothic" w:hAnsi="Century Gothic" w:cs="Century Gothic"/>
      <w:color w:val="auto"/>
      <w:sz w:val="20"/>
      <w:szCs w:val="20"/>
    </w:rPr>
  </w:style>
  <w:style w:type="character" w:customStyle="1" w:styleId="EmailStyle1401">
    <w:name w:val="EmailStyle1401"/>
    <w:rPr>
      <w:rFonts w:ascii="Arial" w:hAnsi="Arial" w:cs="Arial"/>
      <w:color w:val="auto"/>
      <w:sz w:val="16"/>
      <w:szCs w:val="16"/>
    </w:rPr>
  </w:style>
  <w:style w:type="character" w:customStyle="1" w:styleId="EmailStyle141">
    <w:name w:val="EmailStyle141"/>
    <w:rPr>
      <w:rFonts w:ascii="Century Gothic" w:hAnsi="Century Gothic" w:cs="Century Gothic"/>
      <w:color w:val="auto"/>
      <w:sz w:val="20"/>
      <w:szCs w:val="20"/>
    </w:rPr>
  </w:style>
  <w:style w:type="character" w:customStyle="1" w:styleId="EmailStyle142">
    <w:name w:val="EmailStyle142"/>
    <w:rPr>
      <w:rFonts w:ascii="Arial" w:hAnsi="Arial" w:cs="Arial"/>
      <w:color w:val="auto"/>
      <w:sz w:val="16"/>
      <w:szCs w:val="16"/>
    </w:rPr>
  </w:style>
  <w:style w:type="character" w:customStyle="1" w:styleId="EmailStyle1431">
    <w:name w:val="EmailStyle1431"/>
    <w:rPr>
      <w:rFonts w:ascii="Century Gothic" w:hAnsi="Century Gothic" w:cs="Century Gothic"/>
      <w:color w:val="auto"/>
      <w:sz w:val="20"/>
      <w:szCs w:val="20"/>
    </w:rPr>
  </w:style>
  <w:style w:type="character" w:customStyle="1" w:styleId="EmailStyle1441">
    <w:name w:val="EmailStyle1441"/>
    <w:rPr>
      <w:rFonts w:ascii="Arial" w:hAnsi="Arial" w:cs="Arial"/>
      <w:color w:val="auto"/>
      <w:sz w:val="16"/>
      <w:szCs w:val="16"/>
    </w:rPr>
  </w:style>
  <w:style w:type="character" w:customStyle="1" w:styleId="EmailStyle145">
    <w:name w:val="EmailStyle145"/>
    <w:rPr>
      <w:rFonts w:ascii="Century Gothic" w:hAnsi="Century Gothic" w:cs="Century Gothic"/>
      <w:color w:val="auto"/>
      <w:sz w:val="20"/>
      <w:szCs w:val="20"/>
    </w:rPr>
  </w:style>
  <w:style w:type="character" w:customStyle="1" w:styleId="EmailStyle146">
    <w:name w:val="EmailStyle146"/>
    <w:rPr>
      <w:rFonts w:ascii="Arial" w:hAnsi="Arial" w:cs="Arial"/>
      <w:color w:val="auto"/>
      <w:sz w:val="16"/>
      <w:szCs w:val="16"/>
    </w:rPr>
  </w:style>
  <w:style w:type="character" w:customStyle="1" w:styleId="EmailStyle1471">
    <w:name w:val="EmailStyle1471"/>
    <w:rPr>
      <w:rFonts w:ascii="Century Gothic" w:hAnsi="Century Gothic" w:cs="Century Gothic"/>
      <w:color w:val="auto"/>
      <w:sz w:val="20"/>
      <w:szCs w:val="20"/>
    </w:rPr>
  </w:style>
  <w:style w:type="character" w:customStyle="1" w:styleId="EmailStyle1481">
    <w:name w:val="EmailStyle1481"/>
    <w:rPr>
      <w:rFonts w:ascii="Arial" w:hAnsi="Arial" w:cs="Arial"/>
      <w:color w:val="auto"/>
      <w:sz w:val="16"/>
      <w:szCs w:val="16"/>
    </w:rPr>
  </w:style>
  <w:style w:type="character" w:customStyle="1" w:styleId="EmailStyle149">
    <w:name w:val="EmailStyle149"/>
    <w:rPr>
      <w:rFonts w:ascii="Century Gothic" w:hAnsi="Century Gothic" w:cs="Century Gothic"/>
      <w:color w:val="auto"/>
      <w:sz w:val="20"/>
      <w:szCs w:val="20"/>
    </w:rPr>
  </w:style>
  <w:style w:type="character" w:customStyle="1" w:styleId="EmailStyle150">
    <w:name w:val="EmailStyle150"/>
    <w:rPr>
      <w:rFonts w:ascii="Arial" w:hAnsi="Arial" w:cs="Arial"/>
      <w:color w:val="auto"/>
      <w:sz w:val="16"/>
      <w:szCs w:val="16"/>
    </w:rPr>
  </w:style>
  <w:style w:type="character" w:customStyle="1" w:styleId="EmailStyle1511">
    <w:name w:val="EmailStyle1511"/>
    <w:rPr>
      <w:rFonts w:ascii="Century Gothic" w:hAnsi="Century Gothic" w:cs="Century Gothic"/>
      <w:color w:val="auto"/>
      <w:sz w:val="20"/>
      <w:szCs w:val="20"/>
    </w:rPr>
  </w:style>
  <w:style w:type="character" w:customStyle="1" w:styleId="EmailStyle1521">
    <w:name w:val="EmailStyle1521"/>
    <w:rPr>
      <w:rFonts w:ascii="Arial" w:hAnsi="Arial" w:cs="Arial"/>
      <w:color w:val="auto"/>
      <w:sz w:val="16"/>
      <w:szCs w:val="16"/>
    </w:rPr>
  </w:style>
  <w:style w:type="character" w:customStyle="1" w:styleId="EmailStyle153">
    <w:name w:val="EmailStyle153"/>
    <w:rPr>
      <w:rFonts w:ascii="Century Gothic" w:hAnsi="Century Gothic" w:cs="Century Gothic"/>
      <w:color w:val="auto"/>
      <w:sz w:val="20"/>
      <w:szCs w:val="20"/>
    </w:rPr>
  </w:style>
  <w:style w:type="character" w:customStyle="1" w:styleId="EmailStyle154">
    <w:name w:val="EmailStyle154"/>
    <w:rPr>
      <w:rFonts w:ascii="Arial" w:hAnsi="Arial" w:cs="Arial"/>
      <w:color w:val="auto"/>
      <w:sz w:val="16"/>
      <w:szCs w:val="16"/>
    </w:rPr>
  </w:style>
  <w:style w:type="character" w:customStyle="1" w:styleId="EmailStyle1551">
    <w:name w:val="EmailStyle1551"/>
    <w:rPr>
      <w:rFonts w:ascii="Century Gothic" w:hAnsi="Century Gothic" w:cs="Century Gothic"/>
      <w:color w:val="auto"/>
      <w:sz w:val="20"/>
      <w:szCs w:val="20"/>
    </w:rPr>
  </w:style>
  <w:style w:type="character" w:customStyle="1" w:styleId="EmailStyle1561">
    <w:name w:val="EmailStyle1561"/>
    <w:rPr>
      <w:rFonts w:ascii="Arial" w:hAnsi="Arial" w:cs="Arial"/>
      <w:color w:val="auto"/>
      <w:sz w:val="16"/>
      <w:szCs w:val="16"/>
    </w:rPr>
  </w:style>
  <w:style w:type="character" w:customStyle="1" w:styleId="EmailStyle157">
    <w:name w:val="EmailStyle157"/>
    <w:rPr>
      <w:rFonts w:ascii="Century Gothic" w:hAnsi="Century Gothic" w:cs="Century Gothic"/>
      <w:color w:val="auto"/>
      <w:sz w:val="20"/>
      <w:szCs w:val="20"/>
    </w:rPr>
  </w:style>
  <w:style w:type="character" w:customStyle="1" w:styleId="EmailStyle158">
    <w:name w:val="EmailStyle158"/>
    <w:rPr>
      <w:rFonts w:ascii="Arial" w:hAnsi="Arial" w:cs="Arial"/>
      <w:color w:val="auto"/>
      <w:sz w:val="16"/>
      <w:szCs w:val="16"/>
    </w:rPr>
  </w:style>
  <w:style w:type="character" w:customStyle="1" w:styleId="EmailStyle1591">
    <w:name w:val="EmailStyle1591"/>
    <w:rPr>
      <w:rFonts w:ascii="Century Gothic" w:hAnsi="Century Gothic" w:cs="Century Gothic"/>
      <w:color w:val="auto"/>
      <w:sz w:val="20"/>
      <w:szCs w:val="20"/>
    </w:rPr>
  </w:style>
  <w:style w:type="character" w:customStyle="1" w:styleId="EmailStyle1601">
    <w:name w:val="EmailStyle1601"/>
    <w:rPr>
      <w:rFonts w:ascii="Arial" w:hAnsi="Arial" w:cs="Arial"/>
      <w:color w:val="auto"/>
      <w:sz w:val="16"/>
      <w:szCs w:val="16"/>
    </w:rPr>
  </w:style>
  <w:style w:type="character" w:customStyle="1" w:styleId="EmailStyle161">
    <w:name w:val="EmailStyle161"/>
    <w:rPr>
      <w:rFonts w:ascii="Century Gothic" w:hAnsi="Century Gothic" w:cs="Century Gothic"/>
      <w:color w:val="auto"/>
      <w:sz w:val="20"/>
      <w:szCs w:val="20"/>
    </w:rPr>
  </w:style>
  <w:style w:type="character" w:customStyle="1" w:styleId="EmailStyle162">
    <w:name w:val="EmailStyle162"/>
    <w:rPr>
      <w:rFonts w:ascii="Arial" w:hAnsi="Arial" w:cs="Arial"/>
      <w:color w:val="auto"/>
      <w:sz w:val="16"/>
      <w:szCs w:val="16"/>
    </w:rPr>
  </w:style>
  <w:style w:type="character" w:customStyle="1" w:styleId="EmailStyle1631">
    <w:name w:val="EmailStyle1631"/>
    <w:rPr>
      <w:rFonts w:ascii="Century Gothic" w:hAnsi="Century Gothic" w:cs="Century Gothic"/>
      <w:color w:val="auto"/>
      <w:sz w:val="20"/>
      <w:szCs w:val="20"/>
    </w:rPr>
  </w:style>
  <w:style w:type="character" w:customStyle="1" w:styleId="EmailStyle1641">
    <w:name w:val="EmailStyle1641"/>
    <w:rPr>
      <w:rFonts w:ascii="Arial" w:hAnsi="Arial" w:cs="Arial"/>
      <w:color w:val="auto"/>
      <w:sz w:val="16"/>
      <w:szCs w:val="16"/>
    </w:rPr>
  </w:style>
  <w:style w:type="character" w:customStyle="1" w:styleId="EmailStyle165">
    <w:name w:val="EmailStyle165"/>
    <w:rPr>
      <w:rFonts w:ascii="Century Gothic" w:hAnsi="Century Gothic" w:cs="Century Gothic"/>
      <w:color w:val="auto"/>
      <w:sz w:val="20"/>
      <w:szCs w:val="20"/>
    </w:rPr>
  </w:style>
  <w:style w:type="character" w:customStyle="1" w:styleId="EmailStyle166">
    <w:name w:val="EmailStyle166"/>
    <w:rPr>
      <w:rFonts w:ascii="Arial" w:hAnsi="Arial" w:cs="Arial"/>
      <w:color w:val="auto"/>
      <w:sz w:val="16"/>
      <w:szCs w:val="16"/>
    </w:rPr>
  </w:style>
  <w:style w:type="character" w:customStyle="1" w:styleId="Sous-titreCar">
    <w:name w:val="Sous-titre Car"/>
    <w:rPr>
      <w:rFonts w:ascii="Arial" w:hAnsi="Arial"/>
      <w:color w:val="5A5A5A"/>
      <w:spacing w:val="15"/>
      <w:sz w:val="22"/>
      <w:szCs w:val="22"/>
      <w:lang w:eastAsia="en-US"/>
    </w:rPr>
  </w:style>
  <w:style w:type="character" w:styleId="Accentuationlgre">
    <w:name w:val="Subtle Emphasis"/>
    <w:rPr>
      <w:rFonts w:ascii="Arial" w:hAnsi="Arial"/>
      <w:i/>
      <w:iCs/>
      <w:color w:val="404040"/>
    </w:rPr>
  </w:style>
  <w:style w:type="character" w:styleId="Accentuation">
    <w:name w:val="Emphasis"/>
    <w:rPr>
      <w:rFonts w:ascii="Arial" w:hAnsi="Arial"/>
      <w:i/>
      <w:iCs/>
    </w:rPr>
  </w:style>
  <w:style w:type="character" w:styleId="Accentuationintense">
    <w:name w:val="Intense Emphasis"/>
    <w:rPr>
      <w:rFonts w:ascii="Arial" w:hAnsi="Arial"/>
      <w:i/>
      <w:iCs/>
      <w:color w:val="4472C4"/>
    </w:rPr>
  </w:style>
  <w:style w:type="character" w:styleId="lev">
    <w:name w:val="Strong"/>
    <w:rPr>
      <w:rFonts w:ascii="Arial" w:hAnsi="Arial"/>
      <w:b/>
      <w:bCs/>
    </w:rPr>
  </w:style>
  <w:style w:type="character" w:customStyle="1" w:styleId="CitationCar">
    <w:name w:val="Citation Car"/>
    <w:rPr>
      <w:rFonts w:ascii="Arial" w:eastAsia="Calibri" w:hAnsi="Arial" w:cs="Arial"/>
      <w:i/>
      <w:iCs/>
      <w:color w:val="404040"/>
      <w:sz w:val="22"/>
      <w:szCs w:val="22"/>
      <w:lang w:eastAsia="en-US"/>
    </w:rPr>
  </w:style>
  <w:style w:type="character" w:customStyle="1" w:styleId="CitationintenseCar">
    <w:name w:val="Citation intense Car"/>
    <w:rPr>
      <w:rFonts w:ascii="Arial" w:eastAsia="Calibri" w:hAnsi="Arial" w:cs="Arial"/>
      <w:i/>
      <w:iCs/>
      <w:color w:val="4472C4"/>
      <w:sz w:val="22"/>
      <w:szCs w:val="22"/>
      <w:lang w:eastAsia="en-US"/>
    </w:rPr>
  </w:style>
  <w:style w:type="character" w:styleId="Rfrencelgre">
    <w:name w:val="Subtle Reference"/>
    <w:rPr>
      <w:rFonts w:ascii="Arial" w:hAnsi="Arial"/>
      <w:smallCaps/>
      <w:color w:val="5A5A5A"/>
    </w:rPr>
  </w:style>
  <w:style w:type="character" w:styleId="Rfrenceintense">
    <w:name w:val="Intense Reference"/>
    <w:rPr>
      <w:rFonts w:ascii="Arial" w:hAnsi="Arial"/>
      <w:b/>
      <w:bCs/>
      <w:smallCaps/>
      <w:color w:val="4472C4"/>
      <w:spacing w:val="5"/>
    </w:rPr>
  </w:style>
  <w:style w:type="character" w:styleId="Titredulivre">
    <w:name w:val="Book Title"/>
    <w:rPr>
      <w:rFonts w:ascii="Arial" w:hAnsi="Arial"/>
      <w:b/>
      <w:bCs/>
      <w:i/>
      <w:iCs/>
      <w:spacing w:val="5"/>
    </w:rPr>
  </w:style>
  <w:style w:type="character" w:customStyle="1" w:styleId="Internetlink">
    <w:name w:val="Internet link"/>
    <w:rPr>
      <w:color w:val="000080"/>
      <w:u w:val="single"/>
    </w:rPr>
  </w:style>
  <w:style w:type="numbering" w:customStyle="1" w:styleId="LFO1">
    <w:name w:val="LFO1"/>
    <w:basedOn w:val="Aucuneliste"/>
    <w:pPr>
      <w:numPr>
        <w:numId w:val="2"/>
      </w:numPr>
    </w:pPr>
  </w:style>
  <w:style w:type="numbering" w:customStyle="1" w:styleId="LFO4">
    <w:name w:val="LFO4"/>
    <w:basedOn w:val="Aucuneliste"/>
    <w:pPr>
      <w:numPr>
        <w:numId w:val="3"/>
      </w:numPr>
    </w:pPr>
  </w:style>
  <w:style w:type="numbering" w:customStyle="1" w:styleId="LFO5">
    <w:name w:val="LFO5"/>
    <w:basedOn w:val="Aucuneliste"/>
    <w:pPr>
      <w:numPr>
        <w:numId w:val="4"/>
      </w:numPr>
    </w:pPr>
  </w:style>
  <w:style w:type="numbering" w:customStyle="1" w:styleId="LFO18">
    <w:name w:val="LFO18"/>
    <w:basedOn w:val="Aucuneliste"/>
    <w:pPr>
      <w:numPr>
        <w:numId w:val="5"/>
      </w:numPr>
    </w:pPr>
  </w:style>
  <w:style w:type="numbering" w:customStyle="1" w:styleId="LFO20">
    <w:name w:val="LFO20"/>
    <w:basedOn w:val="Aucuneliste"/>
    <w:pPr>
      <w:numPr>
        <w:numId w:val="6"/>
      </w:numPr>
    </w:pPr>
  </w:style>
  <w:style w:type="numbering" w:customStyle="1" w:styleId="LFO21">
    <w:name w:val="LFO21"/>
    <w:basedOn w:val="Aucuneliste"/>
    <w:pPr>
      <w:numPr>
        <w:numId w:val="7"/>
      </w:numPr>
    </w:pPr>
  </w:style>
  <w:style w:type="numbering" w:customStyle="1" w:styleId="LFO22">
    <w:name w:val="LFO22"/>
    <w:basedOn w:val="Aucuneliste"/>
    <w:pPr>
      <w:numPr>
        <w:numId w:val="8"/>
      </w:numPr>
    </w:pPr>
  </w:style>
  <w:style w:type="numbering" w:customStyle="1" w:styleId="LFO23">
    <w:name w:val="LFO23"/>
    <w:basedOn w:val="Aucuneliste"/>
    <w:pPr>
      <w:numPr>
        <w:numId w:val="9"/>
      </w:numPr>
    </w:pPr>
  </w:style>
  <w:style w:type="numbering" w:customStyle="1" w:styleId="LFO24">
    <w:name w:val="LFO24"/>
    <w:basedOn w:val="Aucuneliste"/>
    <w:pPr>
      <w:numPr>
        <w:numId w:val="10"/>
      </w:numPr>
    </w:pPr>
  </w:style>
  <w:style w:type="numbering" w:customStyle="1" w:styleId="LFO28">
    <w:name w:val="LFO28"/>
    <w:basedOn w:val="Aucuneliste"/>
    <w:pPr>
      <w:numPr>
        <w:numId w:val="11"/>
      </w:numPr>
    </w:pPr>
  </w:style>
  <w:style w:type="numbering" w:customStyle="1" w:styleId="LFO29">
    <w:name w:val="LFO29"/>
    <w:basedOn w:val="Aucuneliste"/>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143350">
      <w:bodyDiv w:val="1"/>
      <w:marLeft w:val="0"/>
      <w:marRight w:val="0"/>
      <w:marTop w:val="0"/>
      <w:marBottom w:val="0"/>
      <w:divBdr>
        <w:top w:val="none" w:sz="0" w:space="0" w:color="auto"/>
        <w:left w:val="none" w:sz="0" w:space="0" w:color="auto"/>
        <w:bottom w:val="none" w:sz="0" w:space="0" w:color="auto"/>
        <w:right w:val="none" w:sz="0" w:space="0" w:color="auto"/>
      </w:divBdr>
      <w:divsChild>
        <w:div w:id="178281183">
          <w:marLeft w:val="0"/>
          <w:marRight w:val="0"/>
          <w:marTop w:val="0"/>
          <w:marBottom w:val="0"/>
          <w:divBdr>
            <w:top w:val="none" w:sz="0" w:space="0" w:color="auto"/>
            <w:left w:val="none" w:sz="0" w:space="0" w:color="auto"/>
            <w:bottom w:val="none" w:sz="0" w:space="0" w:color="auto"/>
            <w:right w:val="none" w:sz="0" w:space="0" w:color="auto"/>
          </w:divBdr>
          <w:divsChild>
            <w:div w:id="2028754543">
              <w:marLeft w:val="0"/>
              <w:marRight w:val="0"/>
              <w:marTop w:val="0"/>
              <w:marBottom w:val="0"/>
              <w:divBdr>
                <w:top w:val="none" w:sz="0" w:space="0" w:color="auto"/>
                <w:left w:val="none" w:sz="0" w:space="0" w:color="auto"/>
                <w:bottom w:val="none" w:sz="0" w:space="0" w:color="auto"/>
                <w:right w:val="none" w:sz="0" w:space="0" w:color="auto"/>
              </w:divBdr>
              <w:divsChild>
                <w:div w:id="34375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693217">
      <w:bodyDiv w:val="1"/>
      <w:marLeft w:val="0"/>
      <w:marRight w:val="0"/>
      <w:marTop w:val="0"/>
      <w:marBottom w:val="0"/>
      <w:divBdr>
        <w:top w:val="none" w:sz="0" w:space="0" w:color="auto"/>
        <w:left w:val="none" w:sz="0" w:space="0" w:color="auto"/>
        <w:bottom w:val="none" w:sz="0" w:space="0" w:color="auto"/>
        <w:right w:val="none" w:sz="0" w:space="0" w:color="auto"/>
      </w:divBdr>
      <w:divsChild>
        <w:div w:id="1552841181">
          <w:marLeft w:val="0"/>
          <w:marRight w:val="0"/>
          <w:marTop w:val="0"/>
          <w:marBottom w:val="0"/>
          <w:divBdr>
            <w:top w:val="none" w:sz="0" w:space="0" w:color="auto"/>
            <w:left w:val="none" w:sz="0" w:space="0" w:color="auto"/>
            <w:bottom w:val="none" w:sz="0" w:space="0" w:color="auto"/>
            <w:right w:val="none" w:sz="0" w:space="0" w:color="auto"/>
          </w:divBdr>
          <w:divsChild>
            <w:div w:id="1215388480">
              <w:marLeft w:val="0"/>
              <w:marRight w:val="0"/>
              <w:marTop w:val="0"/>
              <w:marBottom w:val="0"/>
              <w:divBdr>
                <w:top w:val="none" w:sz="0" w:space="0" w:color="auto"/>
                <w:left w:val="none" w:sz="0" w:space="0" w:color="auto"/>
                <w:bottom w:val="none" w:sz="0" w:space="0" w:color="auto"/>
                <w:right w:val="none" w:sz="0" w:space="0" w:color="auto"/>
              </w:divBdr>
              <w:divsChild>
                <w:div w:id="129645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214932">
      <w:bodyDiv w:val="1"/>
      <w:marLeft w:val="0"/>
      <w:marRight w:val="0"/>
      <w:marTop w:val="0"/>
      <w:marBottom w:val="0"/>
      <w:divBdr>
        <w:top w:val="none" w:sz="0" w:space="0" w:color="auto"/>
        <w:left w:val="none" w:sz="0" w:space="0" w:color="auto"/>
        <w:bottom w:val="none" w:sz="0" w:space="0" w:color="auto"/>
        <w:right w:val="none" w:sz="0" w:space="0" w:color="auto"/>
      </w:divBdr>
      <w:divsChild>
        <w:div w:id="423770933">
          <w:marLeft w:val="0"/>
          <w:marRight w:val="0"/>
          <w:marTop w:val="0"/>
          <w:marBottom w:val="0"/>
          <w:divBdr>
            <w:top w:val="none" w:sz="0" w:space="0" w:color="auto"/>
            <w:left w:val="none" w:sz="0" w:space="0" w:color="auto"/>
            <w:bottom w:val="none" w:sz="0" w:space="0" w:color="auto"/>
            <w:right w:val="none" w:sz="0" w:space="0" w:color="auto"/>
          </w:divBdr>
          <w:divsChild>
            <w:div w:id="177472860">
              <w:marLeft w:val="0"/>
              <w:marRight w:val="0"/>
              <w:marTop w:val="0"/>
              <w:marBottom w:val="0"/>
              <w:divBdr>
                <w:top w:val="none" w:sz="0" w:space="0" w:color="auto"/>
                <w:left w:val="none" w:sz="0" w:space="0" w:color="auto"/>
                <w:bottom w:val="none" w:sz="0" w:space="0" w:color="auto"/>
                <w:right w:val="none" w:sz="0" w:space="0" w:color="auto"/>
              </w:divBdr>
              <w:divsChild>
                <w:div w:id="829949005">
                  <w:marLeft w:val="0"/>
                  <w:marRight w:val="0"/>
                  <w:marTop w:val="0"/>
                  <w:marBottom w:val="0"/>
                  <w:divBdr>
                    <w:top w:val="none" w:sz="0" w:space="0" w:color="auto"/>
                    <w:left w:val="none" w:sz="0" w:space="0" w:color="auto"/>
                    <w:bottom w:val="none" w:sz="0" w:space="0" w:color="auto"/>
                    <w:right w:val="none" w:sz="0" w:space="0" w:color="auto"/>
                  </w:divBdr>
                </w:div>
              </w:divsChild>
            </w:div>
            <w:div w:id="403066388">
              <w:marLeft w:val="0"/>
              <w:marRight w:val="0"/>
              <w:marTop w:val="0"/>
              <w:marBottom w:val="0"/>
              <w:divBdr>
                <w:top w:val="none" w:sz="0" w:space="0" w:color="auto"/>
                <w:left w:val="none" w:sz="0" w:space="0" w:color="auto"/>
                <w:bottom w:val="none" w:sz="0" w:space="0" w:color="auto"/>
                <w:right w:val="none" w:sz="0" w:space="0" w:color="auto"/>
              </w:divBdr>
              <w:divsChild>
                <w:div w:id="591012260">
                  <w:marLeft w:val="0"/>
                  <w:marRight w:val="0"/>
                  <w:marTop w:val="0"/>
                  <w:marBottom w:val="0"/>
                  <w:divBdr>
                    <w:top w:val="none" w:sz="0" w:space="0" w:color="auto"/>
                    <w:left w:val="none" w:sz="0" w:space="0" w:color="auto"/>
                    <w:bottom w:val="none" w:sz="0" w:space="0" w:color="auto"/>
                    <w:right w:val="none" w:sz="0" w:space="0" w:color="auto"/>
                  </w:divBdr>
                </w:div>
              </w:divsChild>
            </w:div>
            <w:div w:id="274868693">
              <w:marLeft w:val="0"/>
              <w:marRight w:val="0"/>
              <w:marTop w:val="0"/>
              <w:marBottom w:val="0"/>
              <w:divBdr>
                <w:top w:val="none" w:sz="0" w:space="0" w:color="auto"/>
                <w:left w:val="none" w:sz="0" w:space="0" w:color="auto"/>
                <w:bottom w:val="none" w:sz="0" w:space="0" w:color="auto"/>
                <w:right w:val="none" w:sz="0" w:space="0" w:color="auto"/>
              </w:divBdr>
              <w:divsChild>
                <w:div w:id="2090496405">
                  <w:marLeft w:val="0"/>
                  <w:marRight w:val="0"/>
                  <w:marTop w:val="0"/>
                  <w:marBottom w:val="0"/>
                  <w:divBdr>
                    <w:top w:val="none" w:sz="0" w:space="0" w:color="auto"/>
                    <w:left w:val="none" w:sz="0" w:space="0" w:color="auto"/>
                    <w:bottom w:val="none" w:sz="0" w:space="0" w:color="auto"/>
                    <w:right w:val="none" w:sz="0" w:space="0" w:color="auto"/>
                  </w:divBdr>
                </w:div>
              </w:divsChild>
            </w:div>
            <w:div w:id="1233197689">
              <w:marLeft w:val="0"/>
              <w:marRight w:val="0"/>
              <w:marTop w:val="0"/>
              <w:marBottom w:val="0"/>
              <w:divBdr>
                <w:top w:val="none" w:sz="0" w:space="0" w:color="auto"/>
                <w:left w:val="none" w:sz="0" w:space="0" w:color="auto"/>
                <w:bottom w:val="none" w:sz="0" w:space="0" w:color="auto"/>
                <w:right w:val="none" w:sz="0" w:space="0" w:color="auto"/>
              </w:divBdr>
              <w:divsChild>
                <w:div w:id="84043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8281">
          <w:marLeft w:val="0"/>
          <w:marRight w:val="0"/>
          <w:marTop w:val="0"/>
          <w:marBottom w:val="0"/>
          <w:divBdr>
            <w:top w:val="none" w:sz="0" w:space="0" w:color="auto"/>
            <w:left w:val="none" w:sz="0" w:space="0" w:color="auto"/>
            <w:bottom w:val="none" w:sz="0" w:space="0" w:color="auto"/>
            <w:right w:val="none" w:sz="0" w:space="0" w:color="auto"/>
          </w:divBdr>
          <w:divsChild>
            <w:div w:id="1291667340">
              <w:marLeft w:val="0"/>
              <w:marRight w:val="0"/>
              <w:marTop w:val="0"/>
              <w:marBottom w:val="0"/>
              <w:divBdr>
                <w:top w:val="none" w:sz="0" w:space="0" w:color="auto"/>
                <w:left w:val="none" w:sz="0" w:space="0" w:color="auto"/>
                <w:bottom w:val="none" w:sz="0" w:space="0" w:color="auto"/>
                <w:right w:val="none" w:sz="0" w:space="0" w:color="auto"/>
              </w:divBdr>
              <w:divsChild>
                <w:div w:id="44835376">
                  <w:marLeft w:val="0"/>
                  <w:marRight w:val="0"/>
                  <w:marTop w:val="0"/>
                  <w:marBottom w:val="0"/>
                  <w:divBdr>
                    <w:top w:val="none" w:sz="0" w:space="0" w:color="auto"/>
                    <w:left w:val="none" w:sz="0" w:space="0" w:color="auto"/>
                    <w:bottom w:val="none" w:sz="0" w:space="0" w:color="auto"/>
                    <w:right w:val="none" w:sz="0" w:space="0" w:color="auto"/>
                  </w:divBdr>
                </w:div>
                <w:div w:id="540439859">
                  <w:marLeft w:val="0"/>
                  <w:marRight w:val="0"/>
                  <w:marTop w:val="0"/>
                  <w:marBottom w:val="0"/>
                  <w:divBdr>
                    <w:top w:val="none" w:sz="0" w:space="0" w:color="auto"/>
                    <w:left w:val="none" w:sz="0" w:space="0" w:color="auto"/>
                    <w:bottom w:val="none" w:sz="0" w:space="0" w:color="auto"/>
                    <w:right w:val="none" w:sz="0" w:space="0" w:color="auto"/>
                  </w:divBdr>
                </w:div>
              </w:divsChild>
            </w:div>
            <w:div w:id="603731181">
              <w:marLeft w:val="0"/>
              <w:marRight w:val="0"/>
              <w:marTop w:val="0"/>
              <w:marBottom w:val="0"/>
              <w:divBdr>
                <w:top w:val="none" w:sz="0" w:space="0" w:color="auto"/>
                <w:left w:val="none" w:sz="0" w:space="0" w:color="auto"/>
                <w:bottom w:val="none" w:sz="0" w:space="0" w:color="auto"/>
                <w:right w:val="none" w:sz="0" w:space="0" w:color="auto"/>
              </w:divBdr>
              <w:divsChild>
                <w:div w:id="211743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640064">
      <w:bodyDiv w:val="1"/>
      <w:marLeft w:val="0"/>
      <w:marRight w:val="0"/>
      <w:marTop w:val="0"/>
      <w:marBottom w:val="0"/>
      <w:divBdr>
        <w:top w:val="none" w:sz="0" w:space="0" w:color="auto"/>
        <w:left w:val="none" w:sz="0" w:space="0" w:color="auto"/>
        <w:bottom w:val="none" w:sz="0" w:space="0" w:color="auto"/>
        <w:right w:val="none" w:sz="0" w:space="0" w:color="auto"/>
      </w:divBdr>
      <w:divsChild>
        <w:div w:id="1384058871">
          <w:marLeft w:val="0"/>
          <w:marRight w:val="0"/>
          <w:marTop w:val="0"/>
          <w:marBottom w:val="0"/>
          <w:divBdr>
            <w:top w:val="none" w:sz="0" w:space="0" w:color="auto"/>
            <w:left w:val="none" w:sz="0" w:space="0" w:color="auto"/>
            <w:bottom w:val="none" w:sz="0" w:space="0" w:color="auto"/>
            <w:right w:val="none" w:sz="0" w:space="0" w:color="auto"/>
          </w:divBdr>
          <w:divsChild>
            <w:div w:id="596404383">
              <w:marLeft w:val="0"/>
              <w:marRight w:val="0"/>
              <w:marTop w:val="0"/>
              <w:marBottom w:val="0"/>
              <w:divBdr>
                <w:top w:val="none" w:sz="0" w:space="0" w:color="auto"/>
                <w:left w:val="none" w:sz="0" w:space="0" w:color="auto"/>
                <w:bottom w:val="none" w:sz="0" w:space="0" w:color="auto"/>
                <w:right w:val="none" w:sz="0" w:space="0" w:color="auto"/>
              </w:divBdr>
              <w:divsChild>
                <w:div w:id="87628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ume.chorus-pro.gouv.f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ume.chorus-pro.gouv.f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tools/espd/" TargetMode="External"/><Relationship Id="rId5" Type="http://schemas.openxmlformats.org/officeDocument/2006/relationships/styles" Target="styles.xml"/><Relationship Id="rId15" Type="http://schemas.openxmlformats.org/officeDocument/2006/relationships/hyperlink" Target="https://esignature.ec.europa.eu/efda/tl-browser/"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si.gouv.fr/entreprise/reglementation/confiance-numerique/le-reglement-eidas/liste-nationale-de-confi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ev10042657307902026090.odt\lia.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556d275-20f7-413b-81cb-fdabd9084b4a" xsi:nil="true"/>
    <lcf76f155ced4ddcb4097134ff3c332f xmlns="1c22cc69-70c9-4fd6-8d65-5b2610436d5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D74D422E426644BA6BEC7B050A00F4" ma:contentTypeVersion="10" ma:contentTypeDescription="Crée un document." ma:contentTypeScope="" ma:versionID="1e3456a40ba638ac8ef4a75dc6180357">
  <xsd:schema xmlns:xsd="http://www.w3.org/2001/XMLSchema" xmlns:xs="http://www.w3.org/2001/XMLSchema" xmlns:p="http://schemas.microsoft.com/office/2006/metadata/properties" xmlns:ns2="1c22cc69-70c9-4fd6-8d65-5b2610436d57" xmlns:ns3="9556d275-20f7-413b-81cb-fdabd9084b4a" targetNamespace="http://schemas.microsoft.com/office/2006/metadata/properties" ma:root="true" ma:fieldsID="6b0f487c74cdb128ba7b2240f8f35644" ns2:_="" ns3:_="">
    <xsd:import namespace="1c22cc69-70c9-4fd6-8d65-5b2610436d57"/>
    <xsd:import namespace="9556d275-20f7-413b-81cb-fdabd9084b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2cc69-70c9-4fd6-8d65-5b2610436d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bb113575-5de1-42b7-b404-329fc89d16c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56d275-20f7-413b-81cb-fdabd9084b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a6a98d0-c2a8-434b-b2dd-d0fdfc7c5d69}" ma:internalName="TaxCatchAll" ma:showField="CatchAllData" ma:web="9556d275-20f7-413b-81cb-fdabd9084b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26F8DC-0DE8-4EC9-8032-006C24216BC1}">
  <ds:schemaRefs>
    <ds:schemaRef ds:uri="http://schemas.microsoft.com/sharepoint/v3/contenttype/forms"/>
  </ds:schemaRefs>
</ds:datastoreItem>
</file>

<file path=customXml/itemProps2.xml><?xml version="1.0" encoding="utf-8"?>
<ds:datastoreItem xmlns:ds="http://schemas.openxmlformats.org/officeDocument/2006/customXml" ds:itemID="{B44DCB77-C00A-49A9-B71A-90DC77ABDA7D}">
  <ds:schemaRefs>
    <ds:schemaRef ds:uri="http://schemas.microsoft.com/office/2006/metadata/properties"/>
    <ds:schemaRef ds:uri="http://schemas.microsoft.com/office/infopath/2007/PartnerControls"/>
    <ds:schemaRef ds:uri="9556d275-20f7-413b-81cb-fdabd9084b4a"/>
    <ds:schemaRef ds:uri="1c22cc69-70c9-4fd6-8d65-5b2610436d57"/>
  </ds:schemaRefs>
</ds:datastoreItem>
</file>

<file path=customXml/itemProps3.xml><?xml version="1.0" encoding="utf-8"?>
<ds:datastoreItem xmlns:ds="http://schemas.openxmlformats.org/officeDocument/2006/customXml" ds:itemID="{9BAA72EF-455E-46CE-9BDB-AA5066F80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2cc69-70c9-4fd6-8d65-5b2610436d57"/>
    <ds:schemaRef ds:uri="9556d275-20f7-413b-81cb-fdabd9084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lia</Template>
  <TotalTime>50</TotalTime>
  <Pages>16</Pages>
  <Words>5154</Words>
  <Characters>28349</Characters>
  <Application>Microsoft Office Word</Application>
  <DocSecurity>0</DocSecurity>
  <Lines>236</Lines>
  <Paragraphs>66</Paragraphs>
  <ScaleCrop>false</ScaleCrop>
  <HeadingPairs>
    <vt:vector size="2" baseType="variant">
      <vt:variant>
        <vt:lpstr>Titre</vt:lpstr>
      </vt:variant>
      <vt:variant>
        <vt:i4>1</vt:i4>
      </vt:variant>
    </vt:vector>
  </HeadingPairs>
  <TitlesOfParts>
    <vt:vector size="1" baseType="lpstr">
      <vt:lpstr>&gt;&gt;&gt; Debut du paragraphe </vt:lpstr>
    </vt:vector>
  </TitlesOfParts>
  <Company/>
  <LinksUpToDate>false</LinksUpToDate>
  <CharactersWithSpaces>33437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&gt;&gt;&gt; Debut du paragraphe</dc:title>
  <dc:subject/>
  <dc:creator>CEB</dc:creator>
  <dc:description/>
  <cp:lastModifiedBy>Isabelle VIAL</cp:lastModifiedBy>
  <cp:revision>33</cp:revision>
  <cp:lastPrinted>2025-03-03T12:56:00Z</cp:lastPrinted>
  <dcterms:created xsi:type="dcterms:W3CDTF">2025-02-12T09:06:00Z</dcterms:created>
  <dcterms:modified xsi:type="dcterms:W3CDTF">2025-03-03T12:58:00Z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ication">
    <vt:lpwstr>AD2E</vt:lpwstr>
  </property>
  <property fmtid="{D5CDD505-2E9C-101B-9397-08002B2CF9AE}" pid="3" name="CheminDoctype">
    <vt:lpwstr>C:\Users\dac\AppData\Local\Temp</vt:lpwstr>
  </property>
  <property fmtid="{D5CDD505-2E9C-101B-9397-08002B2CF9AE}" pid="4" name="DernierElement">
    <vt:lpwstr>DomaineTRXetTICetSRV</vt:lpwstr>
  </property>
  <property fmtid="{D5CDD505-2E9C-101B-9397-08002B2CF9AE}" pid="5" name="ElementContenant">
    <vt:lpwstr>RC_COM</vt:lpwstr>
  </property>
  <property fmtid="{D5CDD505-2E9C-101B-9397-08002B2CF9AE}" pid="6" name="ElementPrecedent">
    <vt:lpwstr>DomaineFRNetTICFRN</vt:lpwstr>
  </property>
  <property fmtid="{D5CDD505-2E9C-101B-9397-08002B2CF9AE}" pid="7" name="IdentifiantEdition">
    <vt:lpwstr>RC_COM</vt:lpwstr>
  </property>
  <property fmtid="{D5CDD505-2E9C-101B-9397-08002B2CF9AE}" pid="8" name="NomSegment">
    <vt:lpwstr>DomaineTRXetTICetSRV</vt:lpwstr>
  </property>
  <property fmtid="{D5CDD505-2E9C-101B-9397-08002B2CF9AE}" pid="9" name="NouveauElement">
    <vt:lpwstr>DomaineTRXetTIXetSRVetPI</vt:lpwstr>
  </property>
  <property fmtid="{D5CDD505-2E9C-101B-9397-08002B2CF9AE}" pid="10" name="ResultatCommande">
    <vt:lpwstr>Ok</vt:lpwstr>
  </property>
  <property fmtid="{D5CDD505-2E9C-101B-9397-08002B2CF9AE}" pid="11" name="ContentTypeId">
    <vt:lpwstr>0x010100D1D74D422E426644BA6BEC7B050A00F4</vt:lpwstr>
  </property>
  <property fmtid="{D5CDD505-2E9C-101B-9397-08002B2CF9AE}" pid="12" name="MediaServiceImageTags">
    <vt:lpwstr/>
  </property>
</Properties>
</file>